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240"/>
      <w:bookmarkStart w:id="1" w:name="_Toc474418163"/>
      <w:bookmarkStart w:id="2" w:name="_Toc428401266"/>
      <w:bookmarkStart w:id="3" w:name="_Toc479540720"/>
      <w:bookmarkStart w:id="4" w:name="_Toc24152"/>
      <w:r>
        <w:rPr>
          <w:rFonts w:hint="eastAsia" w:hAnsi="宋体"/>
          <w:b/>
          <w:bCs/>
          <w:sz w:val="28"/>
          <w:szCs w:val="28"/>
          <w:lang w:eastAsia="zh-CN"/>
        </w:rPr>
        <w:t>脑脊液分流器及其组件采购项目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脑脊液分流器及其组件采购项目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脑脊液分流器及其组件采购项目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GFELZYY-BXS202308</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13</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19</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25</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采购联系人：广州市妇女儿童医疗中心柳州医院招标办    </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宋体"/>
          <w:i w:val="0"/>
          <w:iCs w:val="0"/>
          <w:caps w:val="0"/>
          <w:color w:val="21293A"/>
          <w:spacing w:val="0"/>
          <w:sz w:val="24"/>
          <w:szCs w:val="24"/>
          <w:shd w:val="clear" w:color="auto" w:fill="FFFFFF"/>
        </w:rPr>
        <w:t>gfelzyyzbb@163.com</w:t>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140970</wp:posOffset>
            </wp:positionV>
            <wp:extent cx="1340485" cy="1256030"/>
            <wp:effectExtent l="0" t="0" r="12065" b="1270"/>
            <wp:wrapNone/>
            <wp:docPr id="1" name="图片 2" descr="广妇儿柳州医院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妇儿柳州医院招标办公众号二维码"/>
                    <pic:cNvPicPr>
                      <a:picLocks noChangeAspect="1"/>
                    </pic:cNvPicPr>
                  </pic:nvPicPr>
                  <pic:blipFill>
                    <a:blip r:embed="rId4"/>
                    <a:stretch>
                      <a:fillRect/>
                    </a:stretch>
                  </pic:blipFill>
                  <pic:spPr>
                    <a:xfrm>
                      <a:off x="0" y="0"/>
                      <a:ext cx="1340485" cy="125603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13</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B711A"/>
    <w:rsid w:val="0A8F1889"/>
    <w:rsid w:val="10534269"/>
    <w:rsid w:val="1A1D7F02"/>
    <w:rsid w:val="1EC25441"/>
    <w:rsid w:val="203B1037"/>
    <w:rsid w:val="21D96DF5"/>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8A90D75"/>
    <w:rsid w:val="73567FA6"/>
    <w:rsid w:val="7AA21C1D"/>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2023-10-13T03:12:19Z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