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05CAC"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74465"/>
            <wp:effectExtent l="0" t="0" r="10160" b="6985"/>
            <wp:docPr id="1" name="图片 1" descr="acd2a59e07b14bb6679ce03746376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d2a59e07b14bb6679ce03746376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eastAsia="zh-CN"/>
        </w:rPr>
        <w:t>链接：http://zfcg.lzscz.liuzhou.gov.cn/site/detail?parentId=138102&amp;articleId=GfdzbP8SFhGk573vVHXq4g==&amp;utm=site.site-PC-42049.1069-pc-wsg-ArticlePurchaseNoticeList-front.2.80f50cb040ef11f0ab603740af2b28e0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5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2025-06-04T08:12:38Z</dcterms:created>
  <dc:creator>Administrator</dc:creator>
  <cp:lastModifiedBy>漫漫</cp:lastModifiedBy>
  <dcterms:modified xsi:type="dcterms:W3CDTF">2025-06-04T08:13:07Z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eyJoZGlkIjoiNDI5YzNlNzg5MTk3M2NkMGEyZDk5NGVjMWIwZGVjZDUiLCJ1c2VySWQiOiI4MTA2NzkzNTAifQ==</vt:lpwstr>
  </property>
  <property fmtid="{D5CDD505-2E9C-101B-9397-08002B2CF9AE}" pid="4" name="ICV">
    <vt:lpwstr>0FDFE229CC204036A439A1619504A418_12</vt:lpwstr>
  </property>
</Properties>
</file>