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BD7A">
      <w:pPr>
        <w:jc w:val="center"/>
        <w:rPr>
          <w:rFonts w:hint="eastAsia" w:ascii="黑体" w:hAnsi="黑体" w:eastAsia="黑体"/>
          <w:b/>
          <w:sz w:val="44"/>
          <w:szCs w:val="44"/>
        </w:rPr>
      </w:pPr>
    </w:p>
    <w:p w14:paraId="2D61B269">
      <w:pPr>
        <w:jc w:val="center"/>
        <w:rPr>
          <w:rFonts w:ascii="黑体" w:hAnsi="黑体" w:eastAsia="黑体"/>
          <w:b/>
          <w:sz w:val="44"/>
          <w:szCs w:val="44"/>
        </w:rPr>
      </w:pPr>
    </w:p>
    <w:p w14:paraId="6A3F0DFA">
      <w:pPr>
        <w:shd w:val="clea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柳州市妇幼保健院检验外送项目采购需求书</w:t>
      </w:r>
    </w:p>
    <w:p w14:paraId="44207ED6">
      <w:pPr>
        <w:jc w:val="center"/>
        <w:rPr>
          <w:rFonts w:hint="eastAsia"/>
          <w:sz w:val="36"/>
          <w:szCs w:val="36"/>
          <w:lang w:val="en-US" w:eastAsia="zh-CN"/>
        </w:rPr>
      </w:pPr>
    </w:p>
    <w:p w14:paraId="5559C58E">
      <w:pPr>
        <w:pStyle w:val="6"/>
        <w:spacing w:line="360" w:lineRule="auto"/>
        <w:ind w:firstLine="0" w:firstLineChars="0"/>
        <w:jc w:val="both"/>
        <w:rPr>
          <w:rFonts w:hint="eastAsia" w:ascii="方正小标宋简体" w:hAnsi="方正小标宋简体" w:eastAsia="方正小标宋简体" w:cs="方正小标宋简体"/>
          <w:b/>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br w:type="page"/>
      </w:r>
    </w:p>
    <w:tbl>
      <w:tblPr>
        <w:tblStyle w:val="15"/>
        <w:tblpPr w:leftFromText="180" w:rightFromText="180" w:vertAnchor="text" w:horzAnchor="page" w:tblpX="1345" w:tblpY="453"/>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382"/>
        <w:gridCol w:w="1110"/>
        <w:gridCol w:w="2220"/>
      </w:tblGrid>
      <w:tr w14:paraId="67FD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95" w:type="dxa"/>
            <w:noWrap w:val="0"/>
            <w:vAlign w:val="center"/>
          </w:tcPr>
          <w:p w14:paraId="27F89FCF">
            <w:pPr>
              <w:keepNext w:val="0"/>
              <w:keepLines w:val="0"/>
              <w:widowControl/>
              <w:suppressLineNumbers w:val="0"/>
              <w:spacing w:before="0" w:beforeAutospacing="0" w:after="0" w:afterAutospacing="0" w:line="360" w:lineRule="auto"/>
              <w:ind w:left="0" w:right="0"/>
              <w:jc w:val="both"/>
              <w:rPr>
                <w:rFonts w:hint="eastAsia" w:ascii="宋体" w:hAnsi="宋体" w:cs="宋体"/>
                <w:b/>
                <w:bCs/>
                <w:color w:val="auto"/>
                <w:szCs w:val="21"/>
                <w:highlight w:val="none"/>
              </w:rPr>
            </w:pPr>
            <w:bookmarkStart w:id="0" w:name="_GoBack"/>
            <w:r>
              <w:rPr>
                <w:rFonts w:hint="eastAsia" w:ascii="宋体" w:hAnsi="宋体" w:cs="宋体"/>
                <w:b/>
                <w:bCs/>
                <w:color w:val="auto"/>
                <w:szCs w:val="21"/>
                <w:highlight w:val="none"/>
              </w:rPr>
              <w:t>项目名称</w:t>
            </w:r>
          </w:p>
        </w:tc>
        <w:tc>
          <w:tcPr>
            <w:tcW w:w="5382" w:type="dxa"/>
            <w:noWrap w:val="0"/>
            <w:vAlign w:val="center"/>
          </w:tcPr>
          <w:p w14:paraId="112F2D59">
            <w:pPr>
              <w:pStyle w:val="22"/>
              <w:keepNext w:val="0"/>
              <w:keepLines w:val="0"/>
              <w:widowControl/>
              <w:suppressLineNumbers w:val="0"/>
              <w:spacing w:beforeAutospacing="0" w:after="0" w:afterAutospacing="0" w:line="360" w:lineRule="auto"/>
              <w:ind w:left="0" w:right="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柳州市妇幼保健院检验外送服务项目</w:t>
            </w:r>
          </w:p>
        </w:tc>
        <w:tc>
          <w:tcPr>
            <w:tcW w:w="1110" w:type="dxa"/>
            <w:noWrap w:val="0"/>
            <w:vAlign w:val="center"/>
          </w:tcPr>
          <w:p w14:paraId="7D42C4EB">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 量</w:t>
            </w:r>
          </w:p>
        </w:tc>
        <w:tc>
          <w:tcPr>
            <w:tcW w:w="2220" w:type="dxa"/>
            <w:noWrap w:val="0"/>
            <w:vAlign w:val="center"/>
          </w:tcPr>
          <w:p w14:paraId="56272701">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szCs w:val="21"/>
                <w:highlight w:val="none"/>
                <w:lang w:val="en-US"/>
              </w:rPr>
            </w:pPr>
            <w:r>
              <w:rPr>
                <w:rFonts w:hint="eastAsia" w:ascii="宋体" w:hAnsi="宋体" w:cs="宋体"/>
                <w:b/>
                <w:bCs/>
                <w:color w:val="auto"/>
                <w:szCs w:val="21"/>
                <w:highlight w:val="none"/>
                <w:lang w:val="en-US" w:eastAsia="zh-CN"/>
              </w:rPr>
              <w:t>2个标项</w:t>
            </w:r>
          </w:p>
        </w:tc>
      </w:tr>
      <w:tr w14:paraId="548A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95" w:type="dxa"/>
            <w:noWrap w:val="0"/>
            <w:vAlign w:val="center"/>
          </w:tcPr>
          <w:p w14:paraId="5EDF55E1">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用   途</w:t>
            </w:r>
          </w:p>
        </w:tc>
        <w:tc>
          <w:tcPr>
            <w:tcW w:w="8712" w:type="dxa"/>
            <w:gridSpan w:val="3"/>
            <w:noWrap w:val="0"/>
            <w:vAlign w:val="center"/>
          </w:tcPr>
          <w:p w14:paraId="3CA276F9">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根据业务需要拟采购检验外送服务</w:t>
            </w:r>
            <w:r>
              <w:rPr>
                <w:rFonts w:hint="eastAsia" w:ascii="宋体" w:hAnsi="宋体" w:cs="宋体"/>
                <w:b w:val="0"/>
                <w:bCs w:val="0"/>
                <w:color w:val="auto"/>
                <w:sz w:val="21"/>
                <w:szCs w:val="21"/>
                <w:highlight w:val="none"/>
                <w:lang w:val="en-US" w:eastAsia="zh-CN"/>
              </w:rPr>
              <w:t>，以满足临床检测需求</w:t>
            </w:r>
          </w:p>
        </w:tc>
      </w:tr>
      <w:tr w14:paraId="116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07" w:type="dxa"/>
            <w:gridSpan w:val="4"/>
            <w:noWrap w:val="0"/>
            <w:vAlign w:val="top"/>
          </w:tcPr>
          <w:p w14:paraId="1F044D55">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一、项目基本信息</w:t>
            </w:r>
          </w:p>
          <w:p w14:paraId="434C8FDD">
            <w:pPr>
              <w:keepNext w:val="0"/>
              <w:keepLines w:val="0"/>
              <w:widowControl/>
              <w:numPr>
                <w:ilvl w:val="0"/>
                <w:numId w:val="0"/>
              </w:numPr>
              <w:suppressLineNumbers w:val="0"/>
              <w:spacing w:before="0" w:beforeAutospacing="0" w:after="0" w:afterAutospacing="0" w:line="360" w:lineRule="auto"/>
              <w:ind w:left="0" w:right="0"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0"/>
                <w:highlight w:val="none"/>
                <w:lang w:val="en-US" w:eastAsia="zh-CN"/>
              </w:rPr>
              <w:t>1.</w:t>
            </w:r>
            <w:r>
              <w:rPr>
                <w:rFonts w:hint="eastAsia" w:ascii="宋体" w:hAnsi="宋体" w:eastAsia="宋体" w:cs="宋体"/>
                <w:b w:val="0"/>
                <w:bCs w:val="0"/>
                <w:color w:val="auto"/>
                <w:sz w:val="21"/>
                <w:szCs w:val="21"/>
                <w:highlight w:val="none"/>
                <w:lang w:val="en-US" w:eastAsia="zh-CN"/>
              </w:rPr>
              <w:t>项目名称：</w:t>
            </w:r>
            <w:r>
              <w:rPr>
                <w:rFonts w:hint="eastAsia" w:ascii="宋体" w:hAnsi="宋体" w:cs="宋体"/>
                <w:b/>
                <w:bCs/>
                <w:color w:val="auto"/>
                <w:sz w:val="21"/>
                <w:szCs w:val="21"/>
                <w:highlight w:val="none"/>
                <w:lang w:val="en-US" w:eastAsia="zh-CN"/>
              </w:rPr>
              <w:t>柳州市妇幼保健院检验外送服务项目</w:t>
            </w:r>
          </w:p>
          <w:p w14:paraId="145AB6B0">
            <w:pPr>
              <w:pStyle w:val="3"/>
              <w:widowControl/>
              <w:numPr>
                <w:ilvl w:val="0"/>
                <w:numId w:val="0"/>
              </w:numPr>
              <w:suppressLineNumbers w:val="0"/>
              <w:spacing w:before="0" w:beforeAutospacing="0" w:after="0" w:afterAutospacing="0" w:line="360" w:lineRule="auto"/>
              <w:ind w:left="0" w:right="0" w:firstLine="420"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2.项目预算：</w:t>
            </w:r>
            <w:r>
              <w:rPr>
                <w:rFonts w:hint="eastAsia" w:ascii="宋体" w:hAnsi="宋体" w:cs="宋体"/>
                <w:b w:val="0"/>
                <w:bCs w:val="0"/>
                <w:color w:val="auto"/>
                <w:sz w:val="21"/>
                <w:szCs w:val="21"/>
                <w:highlight w:val="none"/>
                <w:lang w:val="en-US" w:eastAsia="zh-CN"/>
              </w:rPr>
              <w:t>分标1：57.24万元/两年   分标2：196.2982万元/两年</w:t>
            </w:r>
          </w:p>
          <w:p w14:paraId="7E707803">
            <w:pPr>
              <w:keepNext w:val="0"/>
              <w:keepLines w:val="0"/>
              <w:widowControl/>
              <w:suppressLineNumbers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二、采购内容概述</w:t>
            </w:r>
          </w:p>
          <w:p w14:paraId="2023A3DE">
            <w:pPr>
              <w:keepNext w:val="0"/>
              <w:keepLines w:val="0"/>
              <w:widowControl/>
              <w:numPr>
                <w:ilvl w:val="0"/>
                <w:numId w:val="0"/>
              </w:numPr>
              <w:suppressLineNumbers w:val="0"/>
              <w:spacing w:before="0" w:beforeAutospacing="0" w:after="0" w:afterAutospacing="0" w:line="360" w:lineRule="auto"/>
              <w:ind w:left="0" w:right="0" w:firstLine="210" w:firstLineChars="1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1.采购项目简介</w:t>
            </w:r>
          </w:p>
          <w:p w14:paraId="21A7243A">
            <w:pPr>
              <w:keepNext w:val="0"/>
              <w:keepLines w:val="0"/>
              <w:widowControl/>
              <w:suppressLineNumbers w:val="0"/>
              <w:shd w:val="clear"/>
              <w:spacing w:before="0" w:beforeAutospacing="0" w:after="0" w:afterAutospacing="0" w:line="360" w:lineRule="auto"/>
              <w:ind w:left="0" w:right="0" w:firstLine="408" w:firstLineChars="200"/>
              <w:jc w:val="both"/>
              <w:rPr>
                <w:rFonts w:hint="default" w:eastAsia="宋体"/>
                <w:b w:val="0"/>
                <w:bCs w:val="0"/>
                <w:color w:val="auto"/>
                <w:spacing w:val="-3"/>
                <w:szCs w:val="20"/>
                <w:highlight w:val="none"/>
                <w:lang w:val="en-US" w:eastAsia="zh-CN"/>
              </w:rPr>
            </w:pPr>
            <w:r>
              <w:rPr>
                <w:rFonts w:hint="default"/>
                <w:color w:val="auto"/>
                <w:spacing w:val="-3"/>
                <w:szCs w:val="20"/>
                <w:highlight w:val="none"/>
              </w:rPr>
              <w:t>我院根据业务需要拟采购检验外送服务</w:t>
            </w:r>
            <w:r>
              <w:rPr>
                <w:rFonts w:hint="eastAsia"/>
                <w:color w:val="auto"/>
                <w:spacing w:val="-3"/>
                <w:szCs w:val="20"/>
                <w:highlight w:val="none"/>
                <w:lang w:eastAsia="zh-CN"/>
              </w:rPr>
              <w:t>，</w:t>
            </w:r>
            <w:r>
              <w:rPr>
                <w:rFonts w:hint="eastAsia" w:ascii="宋体" w:hAnsi="宋体" w:cs="宋体"/>
                <w:b w:val="0"/>
                <w:bCs w:val="0"/>
                <w:color w:val="auto"/>
                <w:sz w:val="21"/>
                <w:szCs w:val="21"/>
                <w:highlight w:val="none"/>
                <w:lang w:val="en-US" w:eastAsia="zh-CN"/>
              </w:rPr>
              <w:t>以满足临床检测需求。各分标需求详见附件。</w:t>
            </w:r>
          </w:p>
          <w:p w14:paraId="08EAC84F">
            <w:pPr>
              <w:keepNext w:val="0"/>
              <w:keepLines w:val="0"/>
              <w:pageBreakBefore w:val="0"/>
              <w:widowControl/>
              <w:suppressLineNumbers w:val="0"/>
              <w:kinsoku/>
              <w:wordWrap/>
              <w:overflowPunct/>
              <w:topLinePunct w:val="0"/>
              <w:autoSpaceDE/>
              <w:autoSpaceDN/>
              <w:bidi w:val="0"/>
              <w:adjustRightInd/>
              <w:snapToGrid/>
              <w:spacing w:before="164" w:beforeLines="50" w:beforeAutospacing="0" w:after="0" w:afterAutospacing="0" w:line="360" w:lineRule="auto"/>
              <w:ind w:left="0" w:right="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rPr>
              <w:t>、商务条款</w:t>
            </w:r>
          </w:p>
          <w:p w14:paraId="7B6FDE0D">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（一）服务期限：</w:t>
            </w:r>
            <w:r>
              <w:rPr>
                <w:rFonts w:hint="eastAsia" w:ascii="宋体" w:hAnsi="宋体" w:eastAsia="宋体" w:cs="宋体"/>
                <w:b w:val="0"/>
                <w:bCs/>
                <w:color w:val="auto"/>
                <w:kern w:val="0"/>
                <w:sz w:val="21"/>
                <w:szCs w:val="21"/>
                <w:highlight w:val="none"/>
                <w:lang w:val="en-US" w:eastAsia="zh-CN"/>
              </w:rPr>
              <w:t>自合同签订生效之日起2年，或本合同的结算金额达合同金额，则服务自动终止</w:t>
            </w:r>
            <w:r>
              <w:rPr>
                <w:rFonts w:hint="eastAsia" w:hAnsi="宋体" w:eastAsia="宋体" w:cs="宋体"/>
                <w:b w:val="0"/>
                <w:bCs/>
                <w:color w:val="auto"/>
                <w:kern w:val="0"/>
                <w:sz w:val="21"/>
                <w:szCs w:val="21"/>
                <w:highlight w:val="none"/>
                <w:lang w:val="en-US" w:eastAsia="zh-CN"/>
              </w:rPr>
              <w:t>。</w:t>
            </w:r>
          </w:p>
          <w:p w14:paraId="0F1559C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签订合同日期</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0"/>
                <w:highlight w:val="none"/>
              </w:rPr>
              <w:t>自</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通知书发出之日起25日内。</w:t>
            </w:r>
          </w:p>
          <w:p w14:paraId="4327A012">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（三）其它</w:t>
            </w:r>
            <w:r>
              <w:rPr>
                <w:rFonts w:hint="eastAsia" w:ascii="宋体" w:hAnsi="宋体" w:eastAsia="宋体" w:cs="宋体"/>
                <w:b/>
                <w:bCs w:val="0"/>
                <w:color w:val="auto"/>
                <w:kern w:val="0"/>
                <w:sz w:val="21"/>
                <w:szCs w:val="21"/>
                <w:highlight w:val="none"/>
              </w:rPr>
              <w:t>要求</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color w:val="auto"/>
                <w:sz w:val="21"/>
                <w:szCs w:val="20"/>
                <w:highlight w:val="none"/>
              </w:rPr>
              <w:t>中标供应商应同时具备“必须报价目录”中的检测技术服务能力，如采购人实际需要的检测项目未列入报价目录中，中标人要积极配合采购人提供相应检测服务，采购人实际需要的检测项目未列入报价目录中的供应商按照不高于市场价进行报价，按院内采购流程进行采购。</w:t>
            </w:r>
          </w:p>
          <w:p w14:paraId="6D22ED2C">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付款方式</w:t>
            </w:r>
            <w:r>
              <w:rPr>
                <w:rFonts w:hint="eastAsia" w:ascii="宋体" w:hAnsi="宋体" w:eastAsia="宋体" w:cs="宋体"/>
                <w:b/>
                <w:bCs w:val="0"/>
                <w:color w:val="auto"/>
                <w:kern w:val="0"/>
                <w:sz w:val="21"/>
                <w:szCs w:val="21"/>
                <w:highlight w:val="none"/>
                <w:lang w:eastAsia="zh-CN"/>
              </w:rPr>
              <w:t>：</w:t>
            </w:r>
          </w:p>
          <w:p w14:paraId="05339C9E">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1.最终结算金额按实际检测合格样本数量进行计算，采用银行汇付（含电汇）等形式。合同签订生效后，采购人接到</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供应商的缴费通知、发票后</w:t>
            </w:r>
            <w:r>
              <w:rPr>
                <w:rFonts w:hint="eastAsia" w:ascii="宋体" w:hAnsi="宋体" w:eastAsia="宋体" w:cs="宋体"/>
                <w:color w:val="auto"/>
                <w:kern w:val="0"/>
                <w:sz w:val="21"/>
                <w:szCs w:val="20"/>
                <w:highlight w:val="none"/>
                <w:lang w:val="en-US" w:eastAsia="zh-CN"/>
              </w:rPr>
              <w:t>10个工作日</w:t>
            </w:r>
            <w:r>
              <w:rPr>
                <w:rFonts w:hint="eastAsia" w:ascii="宋体" w:hAnsi="宋体" w:eastAsia="宋体" w:cs="宋体"/>
                <w:color w:val="auto"/>
                <w:kern w:val="0"/>
                <w:sz w:val="21"/>
                <w:szCs w:val="20"/>
                <w:highlight w:val="none"/>
              </w:rPr>
              <w:t>向</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供应商支付应付费用。</w:t>
            </w:r>
          </w:p>
          <w:p w14:paraId="086AAA5C">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2.采购人支付每笔款项时，</w:t>
            </w:r>
            <w:r>
              <w:rPr>
                <w:rFonts w:hint="eastAsia" w:ascii="宋体" w:hAnsi="宋体" w:eastAsia="宋体" w:cs="宋体"/>
                <w:color w:val="auto"/>
                <w:sz w:val="21"/>
                <w:szCs w:val="20"/>
                <w:highlight w:val="none"/>
              </w:rPr>
              <w:t>中标</w:t>
            </w:r>
            <w:r>
              <w:rPr>
                <w:rFonts w:hint="eastAsia" w:ascii="宋体" w:hAnsi="宋体" w:eastAsia="宋体" w:cs="宋体"/>
                <w:color w:val="auto"/>
                <w:kern w:val="0"/>
                <w:sz w:val="21"/>
                <w:szCs w:val="20"/>
                <w:highlight w:val="none"/>
              </w:rPr>
              <w:t>供应商应提供相应金额的正式发票、检测详单。</w:t>
            </w:r>
          </w:p>
          <w:p w14:paraId="5F2AA0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textAlignment w:val="auto"/>
              <w:rPr>
                <w:rFonts w:hint="eastAsia"/>
                <w:color w:val="auto"/>
                <w:szCs w:val="20"/>
                <w:highlight w:val="none"/>
                <w:lang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结算时，若广西出台新的物价收费标准，收费标准比中标</w:t>
            </w:r>
            <w:r>
              <w:rPr>
                <w:rFonts w:hint="eastAsia"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低的，则按最新收费标准计算。</w:t>
            </w:r>
          </w:p>
          <w:p w14:paraId="21C47212">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质量考核</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报告及时率应≥95%；应按照本分标中检测质量要求执行，如未按质量要求执行而导致检测结果不准确从而影响采购人最终诊断的，</w:t>
            </w:r>
            <w:r>
              <w:rPr>
                <w:rFonts w:hint="eastAsia" w:ascii="宋体" w:hAnsi="宋体" w:eastAsia="宋体" w:cs="宋体"/>
                <w:color w:val="auto"/>
                <w:kern w:val="0"/>
                <w:sz w:val="21"/>
                <w:szCs w:val="21"/>
                <w:highlight w:val="none"/>
              </w:rPr>
              <w:t>不予付款转账</w:t>
            </w:r>
            <w:r>
              <w:rPr>
                <w:rFonts w:hint="eastAsia" w:ascii="宋体" w:hAnsi="宋体" w:eastAsia="宋体" w:cs="宋体"/>
                <w:color w:val="auto"/>
                <w:kern w:val="0"/>
                <w:sz w:val="21"/>
                <w:szCs w:val="21"/>
                <w:highlight w:val="none"/>
                <w:lang w:eastAsia="zh-CN"/>
              </w:rPr>
              <w:t>且</w:t>
            </w:r>
            <w:r>
              <w:rPr>
                <w:rFonts w:hint="eastAsia" w:ascii="宋体" w:hAnsi="宋体" w:eastAsia="宋体" w:cs="宋体"/>
                <w:b w:val="0"/>
                <w:bCs w:val="0"/>
                <w:color w:val="auto"/>
                <w:sz w:val="21"/>
                <w:szCs w:val="21"/>
                <w:highlight w:val="none"/>
                <w:lang w:val="en-US" w:eastAsia="zh-CN"/>
              </w:rPr>
              <w:t>由中标供应商承担相应经济和法律后果</w:t>
            </w:r>
            <w:r>
              <w:rPr>
                <w:rFonts w:hint="eastAsia" w:ascii="宋体" w:hAnsi="宋体" w:eastAsia="宋体" w:cs="宋体"/>
                <w:b w:val="0"/>
                <w:bCs w:val="0"/>
                <w:color w:val="auto"/>
                <w:sz w:val="21"/>
                <w:szCs w:val="21"/>
                <w:highlight w:val="none"/>
                <w:lang w:val="en-US" w:eastAsia="zh-CN"/>
              </w:rPr>
              <w:t>。</w:t>
            </w:r>
          </w:p>
          <w:p w14:paraId="528FE14B">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验收标准和方式</w:t>
            </w:r>
          </w:p>
          <w:p w14:paraId="02DC62A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1.验收方式：书面验收。</w:t>
            </w:r>
          </w:p>
          <w:p w14:paraId="724B2BF5">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2.验收标准：①符合现行国家相关标准、行业标准、地方标准或者其他标准、规范；②符合采购文件要求和响应文件承诺。</w:t>
            </w:r>
          </w:p>
          <w:p w14:paraId="122F79E6">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3.验收方式和程序：由采购人组织验收小组检查服务需求的落实情况。</w:t>
            </w:r>
          </w:p>
          <w:p w14:paraId="795FDB6E">
            <w:pPr>
              <w:keepNext w:val="0"/>
              <w:keepLines w:val="0"/>
              <w:widowControl/>
              <w:numPr>
                <w:ilvl w:val="0"/>
                <w:numId w:val="0"/>
              </w:numPr>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4.采购人有权委托第三方进行履约验收，履约验收费用由中标供应商支付。供应商在投标报价时自行考虑。</w:t>
            </w:r>
          </w:p>
          <w:p w14:paraId="6C827337">
            <w:pPr>
              <w:keepNext w:val="0"/>
              <w:keepLines w:val="0"/>
              <w:widowControl/>
              <w:suppressLineNumbers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br w:type="page"/>
            </w:r>
            <w:r>
              <w:rPr>
                <w:rFonts w:hint="eastAsia" w:ascii="宋体" w:hAnsi="宋体" w:eastAsia="宋体" w:cs="宋体"/>
                <w:b/>
                <w:bCs w:val="0"/>
                <w:color w:val="auto"/>
                <w:kern w:val="0"/>
                <w:sz w:val="21"/>
                <w:szCs w:val="21"/>
                <w:highlight w:val="none"/>
                <w:lang w:val="en-US" w:eastAsia="zh-CN"/>
              </w:rPr>
              <w:t>五、供应商资质要求</w:t>
            </w:r>
          </w:p>
          <w:p w14:paraId="5E69CBFE">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1.国内注册（指按国家有关规定要求核准登记的）具有法人资格的供应商；</w:t>
            </w:r>
          </w:p>
          <w:p w14:paraId="7C308369">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2.供应商须具有有效的《医疗机构执业许可证》或取得具有《医疗机构执业许可证》单位授权的；</w:t>
            </w:r>
          </w:p>
          <w:p w14:paraId="30CCE141">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3.</w:t>
            </w:r>
            <w:r>
              <w:rPr>
                <w:rFonts w:hint="eastAsia" w:ascii="宋体" w:hAnsi="宋体"/>
                <w:bCs/>
                <w:color w:val="auto"/>
                <w:kern w:val="0"/>
                <w:sz w:val="21"/>
                <w:szCs w:val="21"/>
                <w:highlight w:val="none"/>
                <w:lang w:val="zh-CN"/>
              </w:rPr>
              <w:t>供应商及其法人在本项目公告发布之日前近</w:t>
            </w:r>
            <w:r>
              <w:rPr>
                <w:rFonts w:hint="eastAsia" w:ascii="宋体" w:hAnsi="宋体"/>
                <w:bCs/>
                <w:color w:val="auto"/>
                <w:kern w:val="0"/>
                <w:sz w:val="21"/>
                <w:szCs w:val="21"/>
                <w:highlight w:val="none"/>
              </w:rPr>
              <w:t>3</w:t>
            </w:r>
            <w:r>
              <w:rPr>
                <w:rFonts w:hint="eastAsia" w:ascii="宋体" w:hAnsi="宋体"/>
                <w:bCs/>
                <w:color w:val="auto"/>
                <w:kern w:val="0"/>
                <w:sz w:val="21"/>
                <w:szCs w:val="21"/>
                <w:highlight w:val="none"/>
                <w:lang w:val="zh-CN"/>
              </w:rPr>
              <w:t>年无行贿犯罪档案记录及开标前3年内未被列入失信被执行人或重大税收违法案件当事人名单</w:t>
            </w:r>
            <w:r>
              <w:rPr>
                <w:rFonts w:hint="eastAsia" w:ascii="宋体" w:hAnsi="宋体"/>
                <w:bCs/>
                <w:color w:val="auto"/>
                <w:kern w:val="0"/>
                <w:sz w:val="21"/>
                <w:szCs w:val="21"/>
                <w:highlight w:val="none"/>
              </w:rPr>
              <w:t>；</w:t>
            </w:r>
          </w:p>
          <w:p w14:paraId="3C1D9267">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4.供应商及其提供的货物和服务符合国家法律法规及强制性规范所规定的条件；</w:t>
            </w:r>
          </w:p>
          <w:p w14:paraId="2F1E3336">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1"/>
                <w:szCs w:val="21"/>
                <w:highlight w:val="none"/>
              </w:rPr>
            </w:pPr>
            <w:r>
              <w:rPr>
                <w:rFonts w:hint="eastAsia" w:ascii="宋体" w:hAnsi="宋体"/>
                <w:bCs/>
                <w:color w:val="auto"/>
                <w:kern w:val="0"/>
                <w:sz w:val="21"/>
                <w:szCs w:val="21"/>
                <w:highlight w:val="none"/>
              </w:rPr>
              <w:t>5.本项目不接受联合体竞标。</w:t>
            </w:r>
          </w:p>
          <w:p w14:paraId="2964E3BE">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
                <w:bCs w:val="0"/>
                <w:color w:val="auto"/>
                <w:kern w:val="0"/>
                <w:sz w:val="24"/>
                <w:highlight w:val="none"/>
                <w:lang w:val="en-US" w:eastAsia="zh-CN"/>
              </w:rPr>
            </w:pPr>
            <w:r>
              <w:rPr>
                <w:rFonts w:hint="eastAsia" w:ascii="宋体" w:hAnsi="宋体"/>
                <w:b/>
                <w:bCs w:val="0"/>
                <w:color w:val="auto"/>
                <w:kern w:val="0"/>
                <w:sz w:val="24"/>
                <w:highlight w:val="none"/>
                <w:lang w:val="en-US" w:eastAsia="zh-CN"/>
              </w:rPr>
              <w:t>附件：</w:t>
            </w:r>
          </w:p>
          <w:p w14:paraId="31A05D20">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default" w:ascii="宋体" w:hAnsi="宋体"/>
                <w:b/>
                <w:bCs w:val="0"/>
                <w:color w:val="auto"/>
                <w:kern w:val="0"/>
                <w:sz w:val="24"/>
                <w:highlight w:val="none"/>
                <w:lang w:val="en-US" w:eastAsia="zh-CN"/>
              </w:rPr>
            </w:pPr>
            <w:r>
              <w:rPr>
                <w:rFonts w:hint="eastAsia" w:ascii="宋体" w:hAnsi="宋体"/>
                <w:b/>
                <w:bCs w:val="0"/>
                <w:color w:val="auto"/>
                <w:kern w:val="0"/>
                <w:sz w:val="24"/>
                <w:highlight w:val="none"/>
                <w:lang w:val="en-US" w:eastAsia="zh-CN"/>
              </w:rPr>
              <w:t>分标一：检验外送服务项目-检验项目</w:t>
            </w:r>
          </w:p>
          <w:p w14:paraId="7A6E056D">
            <w:pPr>
              <w:keepNext w:val="0"/>
              <w:keepLines w:val="0"/>
              <w:widowControl/>
              <w:suppressLineNumbers w:val="0"/>
              <w:spacing w:before="0" w:beforeAutospacing="0" w:after="0" w:afterAutospacing="0" w:line="440" w:lineRule="exact"/>
              <w:ind w:left="0" w:right="0"/>
              <w:jc w:val="left"/>
              <w:rPr>
                <w:rFonts w:hint="default" w:ascii="宋体" w:hAnsi="宋体" w:eastAsia="宋体"/>
                <w:bCs/>
                <w:color w:val="auto"/>
                <w:kern w:val="0"/>
                <w:sz w:val="24"/>
                <w:szCs w:val="20"/>
                <w:highlight w:val="none"/>
                <w:lang w:val="en-US" w:eastAsia="zh-CN"/>
              </w:rPr>
            </w:pPr>
            <w:r>
              <w:rPr>
                <w:rFonts w:hint="eastAsia" w:ascii="宋体" w:hAnsi="宋体"/>
                <w:b/>
                <w:bCs w:val="0"/>
                <w:color w:val="auto"/>
                <w:kern w:val="0"/>
                <w:sz w:val="24"/>
                <w:szCs w:val="20"/>
                <w:highlight w:val="none"/>
                <w:lang w:val="en-US" w:eastAsia="zh-CN"/>
              </w:rPr>
              <w:t>一、检测项目</w:t>
            </w:r>
            <w:r>
              <w:rPr>
                <w:rFonts w:hint="eastAsia" w:ascii="宋体" w:hAnsi="宋体"/>
                <w:bCs/>
                <w:color w:val="auto"/>
                <w:kern w:val="0"/>
                <w:sz w:val="24"/>
                <w:szCs w:val="20"/>
                <w:highlight w:val="none"/>
                <w:lang w:val="en-US" w:eastAsia="zh-CN"/>
              </w:rPr>
              <w:t>（</w:t>
            </w:r>
            <w:r>
              <w:rPr>
                <w:rFonts w:hint="eastAsia" w:ascii="宋体" w:hAnsi="宋体"/>
                <w:bCs/>
                <w:color w:val="auto"/>
                <w:kern w:val="0"/>
                <w:sz w:val="21"/>
                <w:szCs w:val="21"/>
                <w:highlight w:val="none"/>
                <w:lang w:val="en-US" w:eastAsia="zh-CN"/>
              </w:rPr>
              <w:t>下列所有</w:t>
            </w:r>
            <w:r>
              <w:rPr>
                <w:rFonts w:hint="eastAsia" w:hAnsi="宋体" w:cs="Times New Roman"/>
                <w:b w:val="0"/>
                <w:bCs w:val="0"/>
                <w:color w:val="auto"/>
                <w:kern w:val="0"/>
                <w:sz w:val="21"/>
                <w:szCs w:val="21"/>
                <w:highlight w:val="none"/>
                <w:lang w:val="en-US" w:eastAsia="zh-CN"/>
              </w:rPr>
              <w:t>检测项目为</w:t>
            </w:r>
            <w:r>
              <w:rPr>
                <w:rFonts w:hint="eastAsia" w:hAnsi="宋体" w:cs="Times New Roman"/>
                <w:b w:val="0"/>
                <w:bCs w:val="0"/>
                <w:color w:val="auto"/>
                <w:kern w:val="0"/>
                <w:sz w:val="21"/>
                <w:szCs w:val="21"/>
                <w:highlight w:val="none"/>
              </w:rPr>
              <w:t xml:space="preserve"> “必须报价目录”供应商报价如有缺项的，按竞标无效处理。</w:t>
            </w:r>
            <w:r>
              <w:rPr>
                <w:rFonts w:hint="eastAsia" w:ascii="宋体" w:hAnsi="宋体"/>
                <w:bCs/>
                <w:color w:val="auto"/>
                <w:kern w:val="0"/>
                <w:sz w:val="21"/>
                <w:szCs w:val="21"/>
                <w:highlight w:val="none"/>
                <w:lang w:val="en-US" w:eastAsia="zh-CN"/>
              </w:rPr>
              <w:t>报价按每例实际结算单价报，单位：元</w:t>
            </w:r>
            <w:r>
              <w:rPr>
                <w:rFonts w:hint="eastAsia" w:ascii="宋体" w:hAnsi="宋体"/>
                <w:bCs/>
                <w:color w:val="auto"/>
                <w:kern w:val="0"/>
                <w:sz w:val="21"/>
                <w:szCs w:val="21"/>
                <w:highlight w:val="none"/>
                <w:lang w:val="en-US" w:eastAsia="zh-CN"/>
              </w:rPr>
              <w:t>）</w:t>
            </w:r>
          </w:p>
          <w:tbl>
            <w:tblPr>
              <w:tblStyle w:val="15"/>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344"/>
              <w:gridCol w:w="1663"/>
              <w:gridCol w:w="1018"/>
              <w:gridCol w:w="650"/>
              <w:gridCol w:w="712"/>
              <w:gridCol w:w="863"/>
              <w:gridCol w:w="862"/>
              <w:gridCol w:w="938"/>
              <w:gridCol w:w="712"/>
            </w:tblGrid>
            <w:tr w14:paraId="1FF7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639A9E09">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C1FF552">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检测项目</w:t>
                  </w: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0D06A8B7">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报告项目</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AAB9CB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检测方法</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5F93130">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B18BAB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采购年限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B47D28C">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预估采购数量(例/年)</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54F4EA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单价上限价（元）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7CF42A8">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广西三级医院收费价（元）</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E20F2B1">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备注</w:t>
                  </w:r>
                </w:p>
              </w:tc>
            </w:tr>
            <w:tr w14:paraId="3B66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B407">
                  <w:pPr>
                    <w:keepNext w:val="0"/>
                    <w:keepLines w:val="0"/>
                    <w:widowControl/>
                    <w:suppressLineNumbers w:val="0"/>
                    <w:shd w:val="clear"/>
                    <w:spacing w:before="0" w:beforeAutospacing="0" w:after="0" w:afterAutospacing="0"/>
                    <w:ind w:left="0" w:right="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597AC">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新生儿高通量测序基因筛查</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9B83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提供临床新生儿160个基因相关检测建库、高通量测序服务、初级分析、高级分析、个性化分析服务、遗传咨询师挑点、临床报告解读、一代测序验证突变位点、临床报告拟定、售后技术咨询服务等</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486EF8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二代测序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279139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86B94E4">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98B5A7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300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003A5EF">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954</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16600C6">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1800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057C31A">
                  <w:pPr>
                    <w:keepNext w:val="0"/>
                    <w:keepLines w:val="0"/>
                    <w:widowControl/>
                    <w:suppressLineNumbers w:val="0"/>
                    <w:shd w:val="clear"/>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r>
          </w:tbl>
          <w:p w14:paraId="2F5D1E94">
            <w:pPr>
              <w:pStyle w:val="7"/>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bCs/>
                <w:color w:val="auto"/>
                <w:kern w:val="0"/>
                <w:sz w:val="24"/>
                <w:szCs w:val="24"/>
                <w:highlight w:val="none"/>
                <w:lang w:val="en-US" w:eastAsia="zh-CN"/>
              </w:rPr>
            </w:pPr>
            <w:r>
              <w:rPr>
                <w:rFonts w:hint="eastAsia" w:ascii="宋体" w:hAnsi="宋体"/>
                <w:b/>
                <w:bCs w:val="0"/>
                <w:color w:val="auto"/>
                <w:kern w:val="0"/>
                <w:sz w:val="24"/>
                <w:szCs w:val="20"/>
                <w:highlight w:val="none"/>
                <w:lang w:val="en-US" w:eastAsia="zh-CN"/>
              </w:rPr>
              <w:t>二、</w:t>
            </w:r>
            <w:r>
              <w:rPr>
                <w:rFonts w:hint="eastAsia" w:ascii="宋体" w:hAnsi="宋体"/>
                <w:b/>
                <w:bCs w:val="0"/>
                <w:color w:val="auto"/>
                <w:kern w:val="0"/>
                <w:sz w:val="24"/>
                <w:szCs w:val="24"/>
                <w:highlight w:val="none"/>
              </w:rPr>
              <w:t>检测样本类型</w:t>
            </w:r>
            <w:r>
              <w:rPr>
                <w:rFonts w:hint="eastAsia" w:ascii="宋体" w:hAnsi="宋体"/>
                <w:bCs/>
                <w:color w:val="auto"/>
                <w:kern w:val="0"/>
                <w:sz w:val="24"/>
                <w:szCs w:val="24"/>
                <w:highlight w:val="none"/>
              </w:rPr>
              <w:t>：</w:t>
            </w:r>
            <w:r>
              <w:rPr>
                <w:rFonts w:hint="eastAsia" w:ascii="宋体" w:hAnsi="宋体"/>
                <w:bCs/>
                <w:color w:val="auto"/>
                <w:kern w:val="0"/>
                <w:sz w:val="24"/>
                <w:szCs w:val="24"/>
                <w:highlight w:val="none"/>
                <w:lang w:val="en-US" w:eastAsia="zh-CN"/>
              </w:rPr>
              <w:t>足跟血或外周血</w:t>
            </w:r>
            <w:r>
              <w:rPr>
                <w:rFonts w:hint="eastAsia" w:ascii="宋体" w:hAnsi="宋体"/>
                <w:bCs/>
                <w:color w:val="auto"/>
                <w:kern w:val="0"/>
                <w:sz w:val="24"/>
                <w:szCs w:val="24"/>
                <w:highlight w:val="none"/>
                <w:lang w:eastAsia="zh-CN"/>
              </w:rPr>
              <w:t>。</w:t>
            </w:r>
          </w:p>
          <w:p w14:paraId="3FEEA0CE">
            <w:pPr>
              <w:pStyle w:val="2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20" w:firstLineChars="0"/>
              <w:textAlignment w:val="auto"/>
              <w:rPr>
                <w:rFonts w:hint="default" w:ascii="宋体" w:hAnsi="宋体"/>
                <w:b/>
                <w:bCs w:val="0"/>
                <w:color w:val="auto"/>
                <w:kern w:val="0"/>
                <w:sz w:val="24"/>
                <w:szCs w:val="24"/>
                <w:highlight w:val="none"/>
              </w:rPr>
            </w:pPr>
            <w:r>
              <w:rPr>
                <w:rFonts w:hint="eastAsia" w:ascii="宋体" w:hAnsi="宋体"/>
                <w:b/>
                <w:bCs w:val="0"/>
                <w:color w:val="auto"/>
                <w:kern w:val="0"/>
                <w:sz w:val="24"/>
                <w:szCs w:val="24"/>
                <w:highlight w:val="none"/>
                <w:lang w:val="en-US" w:eastAsia="zh-CN"/>
              </w:rPr>
              <w:t>三、</w:t>
            </w:r>
            <w:r>
              <w:rPr>
                <w:rFonts w:hint="eastAsia" w:ascii="宋体" w:hAnsi="宋体"/>
                <w:b/>
                <w:bCs w:val="0"/>
                <w:color w:val="auto"/>
                <w:kern w:val="0"/>
                <w:sz w:val="24"/>
                <w:szCs w:val="24"/>
                <w:highlight w:val="none"/>
              </w:rPr>
              <w:t>检测</w:t>
            </w:r>
            <w:r>
              <w:rPr>
                <w:rFonts w:hint="default" w:ascii="宋体" w:hAnsi="宋体"/>
                <w:b/>
                <w:bCs w:val="0"/>
                <w:color w:val="auto"/>
                <w:kern w:val="0"/>
                <w:sz w:val="24"/>
                <w:szCs w:val="24"/>
                <w:highlight w:val="none"/>
              </w:rPr>
              <w:t>要求：</w:t>
            </w:r>
          </w:p>
          <w:p w14:paraId="21C1BEF6">
            <w:pPr>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标本收集、样本检测、临床报告拟定、售后技术咨询服务等。</w:t>
            </w:r>
            <w:r>
              <w:rPr>
                <w:rFonts w:hint="eastAsia" w:asciiTheme="minorEastAsia" w:hAnsiTheme="minorEastAsia" w:eastAsiaTheme="minorEastAsia" w:cstheme="minorEastAsia"/>
                <w:color w:val="auto"/>
                <w:sz w:val="21"/>
                <w:szCs w:val="21"/>
                <w:highlight w:val="none"/>
              </w:rPr>
              <w:t>质量控制包括全流程监控样本的唯一性、室内质控、室间质评、冷链流程监控、物流人员培训等，</w:t>
            </w:r>
            <w:r>
              <w:rPr>
                <w:rFonts w:hint="eastAsia" w:asciiTheme="minorEastAsia" w:hAnsiTheme="minorEastAsia" w:eastAsiaTheme="minorEastAsia" w:cstheme="minorEastAsia"/>
                <w:color w:val="auto"/>
                <w:sz w:val="21"/>
                <w:szCs w:val="21"/>
                <w:highlight w:val="none"/>
                <w:lang w:val="en-US" w:eastAsia="zh-CN"/>
              </w:rPr>
              <w:t>如检测过程出现问题需要及时跟采购人联系沟通</w:t>
            </w:r>
            <w:r>
              <w:rPr>
                <w:rFonts w:hint="eastAsia" w:asciiTheme="minorEastAsia" w:hAnsiTheme="minorEastAsia" w:eastAsiaTheme="minorEastAsia" w:cstheme="minorEastAsia"/>
                <w:color w:val="auto"/>
                <w:sz w:val="21"/>
                <w:szCs w:val="21"/>
                <w:highlight w:val="none"/>
                <w:lang w:eastAsia="zh-CN"/>
              </w:rPr>
              <w:t>。</w:t>
            </w:r>
          </w:p>
          <w:p w14:paraId="1CD90CBD">
            <w:pPr>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检测报告出具时间不超过</w:t>
            </w:r>
            <w:r>
              <w:rPr>
                <w:rFonts w:hint="eastAsia" w:asciiTheme="minorEastAsia" w:hAnsiTheme="minorEastAsia" w:eastAsiaTheme="minorEastAsia" w:cstheme="minorEastAsia"/>
                <w:color w:val="auto"/>
                <w:sz w:val="21"/>
                <w:szCs w:val="21"/>
                <w:highlight w:val="none"/>
                <w:lang w:val="en-US" w:eastAsia="zh-CN"/>
              </w:rPr>
              <w:t>14个工作日，</w:t>
            </w:r>
            <w:r>
              <w:rPr>
                <w:rFonts w:hint="eastAsia" w:asciiTheme="minorEastAsia" w:hAnsiTheme="minorEastAsia" w:eastAsiaTheme="minorEastAsia" w:cstheme="minorEastAsia"/>
                <w:bCs/>
                <w:color w:val="auto"/>
                <w:kern w:val="0"/>
                <w:sz w:val="21"/>
                <w:szCs w:val="21"/>
                <w:highlight w:val="none"/>
              </w:rPr>
              <w:t>一般项目</w:t>
            </w:r>
            <w:r>
              <w:rPr>
                <w:rFonts w:hint="eastAsia" w:asciiTheme="minorEastAsia" w:hAnsiTheme="minorEastAsia" w:eastAsiaTheme="minorEastAsia" w:cstheme="minorEastAsia"/>
                <w:bCs/>
                <w:color w:val="auto"/>
                <w:kern w:val="0"/>
                <w:sz w:val="21"/>
                <w:szCs w:val="21"/>
                <w:highlight w:val="none"/>
                <w:lang w:val="en-US" w:eastAsia="zh-CN"/>
              </w:rPr>
              <w:t>按照正常报告周期进行</w:t>
            </w:r>
            <w:r>
              <w:rPr>
                <w:rFonts w:hint="eastAsia" w:asciiTheme="minorEastAsia" w:hAnsiTheme="minorEastAsia" w:eastAsiaTheme="minorEastAsia" w:cstheme="minorEastAsia"/>
                <w:bCs/>
                <w:color w:val="auto"/>
                <w:kern w:val="0"/>
                <w:sz w:val="21"/>
                <w:szCs w:val="21"/>
                <w:highlight w:val="none"/>
              </w:rPr>
              <w:t>发放报告</w:t>
            </w:r>
            <w:r>
              <w:rPr>
                <w:rFonts w:hint="eastAsia" w:asciiTheme="minorEastAsia" w:hAnsiTheme="minorEastAsia" w:eastAsiaTheme="minorEastAsia" w:cstheme="minorEastAsia"/>
                <w:bCs/>
                <w:color w:val="auto"/>
                <w:kern w:val="0"/>
                <w:sz w:val="21"/>
                <w:szCs w:val="21"/>
                <w:highlight w:val="none"/>
                <w:lang w:eastAsia="zh-CN"/>
              </w:rPr>
              <w:t>，</w:t>
            </w:r>
            <w:r>
              <w:rPr>
                <w:rFonts w:hint="eastAsia" w:asciiTheme="minorEastAsia" w:hAnsiTheme="minorEastAsia" w:eastAsiaTheme="minorEastAsia" w:cstheme="minorEastAsia"/>
                <w:bCs/>
                <w:color w:val="auto"/>
                <w:kern w:val="0"/>
                <w:sz w:val="21"/>
                <w:szCs w:val="21"/>
                <w:highlight w:val="none"/>
                <w:lang w:val="en-US" w:eastAsia="zh-CN"/>
              </w:rPr>
              <w:t>特殊要求服务机构应配合进行报告加急发放</w:t>
            </w:r>
            <w:r>
              <w:rPr>
                <w:rFonts w:hint="eastAsia" w:asciiTheme="minorEastAsia" w:hAnsiTheme="minorEastAsia" w:eastAsiaTheme="minorEastAsia" w:cstheme="minorEastAsia"/>
                <w:bCs/>
                <w:color w:val="auto"/>
                <w:kern w:val="0"/>
                <w:sz w:val="21"/>
                <w:szCs w:val="21"/>
                <w:highlight w:val="none"/>
              </w:rPr>
              <w:t>。</w:t>
            </w:r>
          </w:p>
          <w:p w14:paraId="6BFA09A2">
            <w:pPr>
              <w:pStyle w:val="24"/>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服务人员：供应商需提供检测项目的实验室咨询服务。</w:t>
            </w:r>
          </w:p>
          <w:p w14:paraId="7E3349A1">
            <w:pPr>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根据采购人需求，满足部分的个性化分析要求。</w:t>
            </w:r>
          </w:p>
          <w:p w14:paraId="040CF001">
            <w:pPr>
              <w:pStyle w:val="24"/>
              <w:keepNext w:val="0"/>
              <w:keepLines w:val="0"/>
              <w:widowControl/>
              <w:numPr>
                <w:ilvl w:val="0"/>
                <w:numId w:val="1"/>
              </w:numPr>
              <w:suppressLineNumbers w:val="0"/>
              <w:shd w:val="clear"/>
              <w:spacing w:before="0" w:beforeAutospacing="0" w:after="0" w:afterAutospacing="0" w:line="360" w:lineRule="auto"/>
              <w:ind w:left="425" w:leftChars="0" w:right="0" w:hanging="425"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检测具体要求：</w:t>
            </w:r>
          </w:p>
          <w:p w14:paraId="508DEF6C">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临床新生儿160个基因（参考附件“新生儿高通量测序基因筛查相关检测列表明细”，可不仅限于此）相关检测建库、高通量测序服务、初级分析、高级分析、个性化分析服务、遗传咨询师挑点、临床报告解读、一代测序验证突变位点、临床报告拟定、售后技术咨询服务等。</w:t>
            </w:r>
          </w:p>
          <w:p w14:paraId="6A1BA853">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测序过程及质量控制：ClinVar数据库致病/可能致病变异位点（SNV、Indel（＜50bp））覆盖率≥95%。测序数据量要求：测序平均深度不低于200X、Q20&gt;95%、Q30&gt;90%；目标区域20X以上覆盖度&gt;97%。检测临床参考数据库中基因外显子及邻近区域（20bp）、部分非编码区致病/可能致病变异SNV、Indel（50bp）。</w:t>
            </w:r>
          </w:p>
          <w:p w14:paraId="09AAAE6F">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（3）初级分析包括内容有：测序下机 Clean Fastq数据，经过比对后生成BAM，以及突变位点vcf文件，并可以供</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随时申请下载。</w:t>
            </w:r>
          </w:p>
          <w:p w14:paraId="322E3302">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（4）高级分析包括：vcf文件数据库注释（除常规数据库外，应包含HGMD pro最新版注释结果）并且过滤大部分不致病位点。</w:t>
            </w:r>
          </w:p>
          <w:p w14:paraId="1B8406A0">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（5）个性化分析包括：找到检出所有突变中跟疾病相关基因，并对相关</w:t>
            </w:r>
            <w:r>
              <w:rPr>
                <w:rFonts w:hint="eastAsia" w:asciiTheme="minorEastAsia" w:hAnsiTheme="minorEastAsia" w:eastAsiaTheme="minorEastAsia" w:cstheme="minorEastAsia"/>
                <w:color w:val="auto"/>
                <w:sz w:val="21"/>
                <w:szCs w:val="21"/>
                <w:highlight w:val="none"/>
                <w:lang w:val="en-US" w:eastAsia="zh-CN"/>
              </w:rPr>
              <w:t>基因</w:t>
            </w:r>
            <w:r>
              <w:rPr>
                <w:rFonts w:hint="eastAsia" w:asciiTheme="minorEastAsia" w:hAnsiTheme="minorEastAsia" w:eastAsiaTheme="minorEastAsia" w:cstheme="minorEastAsia"/>
                <w:color w:val="auto"/>
                <w:sz w:val="21"/>
                <w:szCs w:val="21"/>
                <w:highlight w:val="none"/>
              </w:rPr>
              <w:t>因进行深度致病性分析，根据 ACMG指南出具基因突变位点的突变类型，并指导、协助后期SCI论文发表。</w:t>
            </w:r>
          </w:p>
          <w:p w14:paraId="0F5BF4BC">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（6）遗传咨询师挑取致病位点包括：注释之后的位点能够过滤并挑选出来，并对该位点的致病性结论进行说明。 </w:t>
            </w:r>
          </w:p>
          <w:p w14:paraId="7DC84C13">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临床结果报告出具包括：有专业的遗传代谢病专家或临床医师对检测数据进行审核判读、对检测结果进行分析，以及给出专业的治疗指导意见或下一步的检查建议。最终结果以临床报告形式体现，包括患者基本信息，病例信息，阴阳性报告结论，致病突变位点以及详细位点信息，报告模板可按照采购人要求进行更改。</w:t>
            </w:r>
          </w:p>
          <w:p w14:paraId="5D0E7F7F">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（8）病例、报告维护包括：采购人送样病例的电子系统管理，结果调取，样本DNA管理及回寄等；指派专人进行样本上门收取、以及后期对接。</w:t>
            </w:r>
          </w:p>
          <w:p w14:paraId="588E6E05">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（9）质量控制：分析前、中、后达到质量要求。出现上述环节质量问题需要跟采购人联系沟通。</w:t>
            </w:r>
          </w:p>
          <w:p w14:paraId="242E873C">
            <w:pPr>
              <w:keepNext w:val="0"/>
              <w:keepLines w:val="0"/>
              <w:widowControl/>
              <w:suppressLineNumbers w:val="0"/>
              <w:shd w:val="clear"/>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（10）分析系统：采购人可以在供应商系统平台上进行个性化分析。</w:t>
            </w:r>
          </w:p>
          <w:p w14:paraId="4AACB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pPr>
            <w:r>
              <w:rPr>
                <w:rFonts w:hint="eastAsia" w:ascii="宋体" w:hAnsi="宋体" w:eastAsia="宋体" w:cs="宋体"/>
                <w:b/>
                <w:bCs w:val="0"/>
                <w:color w:val="auto"/>
                <w:kern w:val="0"/>
                <w:sz w:val="21"/>
                <w:szCs w:val="21"/>
                <w:highlight w:val="none"/>
                <w:lang w:eastAsia="zh-CN"/>
              </w:rPr>
              <w:t>（11）在服务期限内，若采购人增加本项目清单外的检测内容，供应商有资格开展的检测项目时，供应商应尽量配合开展。</w:t>
            </w:r>
          </w:p>
          <w:p w14:paraId="1EC92A0D">
            <w:pPr>
              <w:pStyle w:val="23"/>
              <w:keepNext w:val="0"/>
              <w:keepLines w:val="0"/>
              <w:pageBreakBefore w:val="0"/>
              <w:widowControl/>
              <w:numPr>
                <w:ilvl w:val="0"/>
                <w:numId w:val="0"/>
              </w:numPr>
              <w:suppressLineNumbers w:val="0"/>
              <w:shd w:val="clear"/>
              <w:kinsoku/>
              <w:wordWrap/>
              <w:topLinePunct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6.</w:t>
            </w:r>
            <w:r>
              <w:rPr>
                <w:rFonts w:hint="eastAsia" w:asciiTheme="minorEastAsia" w:hAnsiTheme="minorEastAsia" w:eastAsiaTheme="minorEastAsia" w:cstheme="minorEastAsia"/>
                <w:color w:val="auto"/>
                <w:sz w:val="21"/>
                <w:szCs w:val="21"/>
                <w:highlight w:val="none"/>
                <w:lang w:eastAsia="zh-CN"/>
              </w:rPr>
              <w:t>遇到不合格标本应及时联系采购方实验室，以便确认是重新采集标本还是取消医嘱不做。</w:t>
            </w:r>
            <w:r>
              <w:rPr>
                <w:rFonts w:hint="eastAsia" w:asciiTheme="minorEastAsia" w:hAnsiTheme="minorEastAsia" w:eastAsiaTheme="minorEastAsia" w:cstheme="minorEastAsia"/>
                <w:bCs/>
                <w:color w:val="auto"/>
                <w:kern w:val="0"/>
                <w:sz w:val="21"/>
                <w:szCs w:val="21"/>
                <w:highlight w:val="none"/>
                <w:lang w:val="en-US" w:eastAsia="zh-CN" w:bidi="ar-SA"/>
              </w:rPr>
              <w:t>由于样本溶血，或者DNA含量不够等情况，重采费用由中标供应商承担；由于特殊原因停止检测的，双方协调予以退费。</w:t>
            </w:r>
          </w:p>
          <w:p w14:paraId="47E1AC46">
            <w:pPr>
              <w:keepNext w:val="0"/>
              <w:keepLines w:val="0"/>
              <w:pageBreakBefore w:val="0"/>
              <w:widowControl/>
              <w:numPr>
                <w:ilvl w:val="0"/>
                <w:numId w:val="0"/>
              </w:numPr>
              <w:suppressLineNumbers w:val="0"/>
              <w:shd w:val="clear"/>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7.售后查询及响应时间：</w:t>
            </w:r>
            <w:r>
              <w:rPr>
                <w:rFonts w:hint="eastAsia" w:ascii="宋体" w:hAnsi="宋体" w:eastAsia="宋体" w:cs="宋体"/>
                <w:b w:val="0"/>
                <w:bCs/>
                <w:color w:val="auto"/>
                <w:kern w:val="0"/>
                <w:sz w:val="21"/>
                <w:szCs w:val="21"/>
                <w:highlight w:val="none"/>
                <w:lang w:val="en-US" w:eastAsia="zh-CN"/>
              </w:rPr>
              <w:t>中标供应商</w:t>
            </w:r>
            <w:r>
              <w:rPr>
                <w:rFonts w:hint="eastAsia" w:asciiTheme="minorEastAsia" w:hAnsiTheme="minorEastAsia" w:eastAsiaTheme="minorEastAsia" w:cstheme="minorEastAsia"/>
                <w:bCs/>
                <w:color w:val="auto"/>
                <w:kern w:val="0"/>
                <w:sz w:val="21"/>
                <w:szCs w:val="21"/>
                <w:highlight w:val="none"/>
                <w:lang w:val="en-US" w:eastAsia="zh-CN" w:bidi="ar-SA"/>
              </w:rPr>
              <w:t>售后咨询组人员将提供查询服务，包括检测进度查询、检测结果查询、检测报告邮寄查询、保险进度查询等，及时处理和反馈客户问题。服务期内提供 7*24 小时电话支持，电话工作时间实时响应。</w:t>
            </w:r>
          </w:p>
          <w:p w14:paraId="60D535F9">
            <w:pPr>
              <w:pStyle w:val="23"/>
              <w:keepNext w:val="0"/>
              <w:keepLines w:val="0"/>
              <w:pageBreakBefore w:val="0"/>
              <w:widowControl/>
              <w:numPr>
                <w:ilvl w:val="0"/>
                <w:numId w:val="0"/>
              </w:numPr>
              <w:suppressLineNumbers w:val="0"/>
              <w:shd w:val="clear"/>
              <w:tabs>
                <w:tab w:val="left" w:pos="967"/>
              </w:tabs>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i w:val="0"/>
                <w:iCs w:val="0"/>
                <w:caps w:val="0"/>
                <w:color w:val="auto"/>
                <w:spacing w:val="0"/>
                <w:sz w:val="21"/>
                <w:szCs w:val="21"/>
                <w:highlight w:val="none"/>
                <w:shd w:val="clear" w:color="auto" w:fill="FFFFFF"/>
                <w:lang w:val="en-US" w:eastAsia="zh-CN"/>
              </w:rPr>
              <w:t>8.</w:t>
            </w:r>
            <w:r>
              <w:rPr>
                <w:rFonts w:hint="eastAsia" w:asciiTheme="minorEastAsia" w:hAnsiTheme="minorEastAsia" w:eastAsiaTheme="minorEastAsia" w:cstheme="minorEastAsia"/>
                <w:bCs/>
                <w:color w:val="auto"/>
                <w:kern w:val="0"/>
                <w:sz w:val="21"/>
                <w:szCs w:val="21"/>
                <w:highlight w:val="none"/>
                <w:lang w:eastAsia="zh-CN"/>
              </w:rPr>
              <w:t>结算时的物价应以外送服务产生时的广西物价收费标准为准。</w:t>
            </w:r>
          </w:p>
          <w:p w14:paraId="3518F106">
            <w:pPr>
              <w:pStyle w:val="24"/>
              <w:keepNext w:val="0"/>
              <w:keepLines w:val="0"/>
              <w:widowControl/>
              <w:suppressLineNumbers w:val="0"/>
              <w:shd w:val="clear"/>
              <w:spacing w:before="0" w:beforeAutospacing="0" w:after="0" w:afterAutospacing="0"/>
              <w:ind w:left="0" w:right="0"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服务要求</w:t>
            </w:r>
          </w:p>
          <w:p w14:paraId="297D28EB">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服务机构需严格遵守国家和采购方相关规定，秉着诚实守信的原则合法合规做好高通量测序服务工作。</w:t>
            </w:r>
          </w:p>
          <w:p w14:paraId="3E9DD93D">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服务机构在收到采购人提供的样本后，报告应在规定时效内完成，结果报告的电子版连同纸质版一同发送给采购方。</w:t>
            </w:r>
          </w:p>
          <w:p w14:paraId="5427631D">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服务期间，服务机构不得随意更换测序试剂或测序服务平台，如遇特殊情况确 需更换的，应取得采购人的书面同意，由此产生的相关费用（如试剂盒试剂成本提升）等由服务机构承担。供应商须提供测序试剂及测序服务平台相关资质材料备案。</w:t>
            </w:r>
          </w:p>
          <w:p w14:paraId="53B157AB">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服务机构需慎重对待采购方患者的样本，并有多病种、多系统罕见病分析服务经验。</w:t>
            </w:r>
          </w:p>
          <w:p w14:paraId="50A94993">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采购方可随时向服务机构询问检测进度事宜。服务机构指定项目专项负责人，为双方工作联系人。</w:t>
            </w:r>
          </w:p>
          <w:p w14:paraId="315F5D09">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服务机构应为采购人提供专业、优质的测序服务，不得拖延或推迟采购人送达的测序分析工作。</w:t>
            </w:r>
          </w:p>
          <w:p w14:paraId="1CD8AC90">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服务机构在完成测序之后，应协助采购人对数据进行准确的高级分析、个性化分析。</w:t>
            </w:r>
          </w:p>
          <w:p w14:paraId="2D20F3C1">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服务机构提供基因数据分析系统，为本单位开通账号，可以自主查看报告进度，同时也可以进行相关基因数据分析，并对分析提供培训和指导。</w:t>
            </w:r>
          </w:p>
          <w:p w14:paraId="3B15D1D7">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lang w:val="en-US" w:eastAsia="zh-CN" w:bidi="ar"/>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服务机构可根据采购人</w:t>
            </w:r>
            <w:r>
              <w:rPr>
                <w:rFonts w:hint="eastAsia" w:asciiTheme="minorEastAsia" w:hAnsiTheme="minorEastAsia" w:eastAsiaTheme="minorEastAsia" w:cstheme="minorEastAsia"/>
                <w:color w:val="auto"/>
                <w:kern w:val="0"/>
                <w:sz w:val="21"/>
                <w:szCs w:val="21"/>
                <w:highlight w:val="none"/>
                <w:vertAlign w:val="baseline"/>
                <w:lang w:val="en-US" w:eastAsia="zh-CN" w:bidi="ar"/>
              </w:rPr>
              <w:t>需求提供队列研究，对于特殊样本提供深度科研服务。</w:t>
            </w:r>
          </w:p>
          <w:p w14:paraId="398DD491">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供应商需要检测流程规范、检测质量可靠，如果因为报告不准确而影响采购人最终诊断的，所有后果由供应商承担相应经济和法律后果。</w:t>
            </w:r>
          </w:p>
          <w:p w14:paraId="3E67804B">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lang w:val="en-US" w:eastAsia="zh-CN" w:bidi="ar"/>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p>
          <w:p w14:paraId="7F80F3B7">
            <w:pPr>
              <w:keepNext w:val="0"/>
              <w:keepLines w:val="0"/>
              <w:widowControl/>
              <w:numPr>
                <w:ilvl w:val="0"/>
                <w:numId w:val="2"/>
              </w:numPr>
              <w:suppressLineNumbers w:val="0"/>
              <w:shd w:val="clear"/>
              <w:overflowPunct w:val="0"/>
              <w:autoSpaceDE w:val="0"/>
              <w:autoSpaceDN w:val="0"/>
              <w:adjustRightInd w:val="0"/>
              <w:snapToGrid w:val="0"/>
              <w:spacing w:before="0" w:beforeAutospacing="0" w:after="0" w:afterAutospacing="0" w:line="440" w:lineRule="exact"/>
              <w:ind w:left="425" w:leftChars="0" w:right="0" w:hanging="425" w:firstLineChars="0"/>
              <w:jc w:val="left"/>
              <w:textAlignment w:val="baseline"/>
              <w:rPr>
                <w:rFonts w:hint="eastAsia" w:asciiTheme="minorEastAsia" w:hAnsiTheme="minorEastAsia" w:eastAsiaTheme="minorEastAsia" w:cstheme="minorEastAsia"/>
                <w:color w:val="auto"/>
                <w:kern w:val="0"/>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vertAlign w:val="baseline"/>
                <w:lang w:val="en-US" w:eastAsia="zh-CN" w:bidi="ar"/>
              </w:rPr>
              <w:t>供应商对采购人提供的技术资料负有保密责任。</w:t>
            </w:r>
          </w:p>
          <w:p w14:paraId="203AB7BF">
            <w:pPr>
              <w:pStyle w:val="19"/>
              <w:keepNext w:val="0"/>
              <w:keepLines w:val="0"/>
              <w:pageBreakBefore w:val="0"/>
              <w:widowControl/>
              <w:suppressLineNumbers w:val="0"/>
              <w:kinsoku/>
              <w:wordWrap/>
              <w:topLinePunct w:val="0"/>
              <w:bidi w:val="0"/>
              <w:spacing w:before="0" w:beforeAutospacing="0" w:after="0" w:afterAutospacing="0" w:line="360" w:lineRule="auto"/>
              <w:ind w:left="0" w:leftChars="0" w:right="0" w:firstLine="0" w:firstLineChars="0"/>
              <w:rPr>
                <w:rFonts w:hint="eastAsia" w:asciiTheme="minorEastAsia" w:hAnsiTheme="minorEastAsia" w:eastAsiaTheme="minorEastAsia" w:cstheme="minorEastAsia"/>
                <w:color w:val="auto"/>
                <w:kern w:val="0"/>
                <w:sz w:val="21"/>
                <w:szCs w:val="21"/>
                <w:highlight w:val="none"/>
                <w:vertAlign w:val="baseline"/>
                <w:lang w:val="en-US" w:eastAsia="zh-CN" w:bidi="ar"/>
              </w:rPr>
            </w:pPr>
            <w:r>
              <w:rPr>
                <w:rFonts w:hint="eastAsia" w:ascii="宋体" w:hAnsi="宋体"/>
                <w:b/>
                <w:bCs/>
                <w:color w:val="auto"/>
                <w:szCs w:val="21"/>
                <w:highlight w:val="none"/>
              </w:rPr>
              <w:t>13.</w:t>
            </w:r>
            <w:r>
              <w:rPr>
                <w:rFonts w:hint="eastAsia" w:asciiTheme="minorEastAsia" w:hAnsiTheme="minorEastAsia" w:eastAsiaTheme="minorEastAsia" w:cstheme="minorEastAsia"/>
                <w:color w:val="auto"/>
                <w:kern w:val="0"/>
                <w:sz w:val="21"/>
                <w:szCs w:val="21"/>
                <w:highlight w:val="none"/>
                <w:vertAlign w:val="baseline"/>
                <w:lang w:val="en-US" w:eastAsia="zh-CN" w:bidi="ar"/>
              </w:rPr>
              <w:t>供应商保证2小时内响应，可按照采购人要求的时间提供检测项目咨询、收样、患者临床信息收集等服务以及后期对接（线上或线下方式）。供应商在履行合同期间，应遵守《中华人民共和国生物安全法》、《中华人民共和国人类遗传资源管理条例》及相关的法律法规。供应商对检测标本的使用，仅限于采购人</w:t>
            </w:r>
            <w:r>
              <w:rPr>
                <w:rFonts w:hint="eastAsia" w:asciiTheme="minorEastAsia" w:hAnsiTheme="minorEastAsia" w:eastAsiaTheme="minorEastAsia" w:cstheme="minorEastAsia"/>
                <w:color w:val="auto"/>
                <w:kern w:val="0"/>
                <w:sz w:val="21"/>
                <w:szCs w:val="21"/>
                <w:highlight w:val="none"/>
                <w:vertAlign w:val="baseline"/>
                <w:lang w:val="en-US" w:eastAsia="zh-CN" w:bidi="ar"/>
              </w:rPr>
              <w:t>委托的检测项目内容，供应商不得自行增加检测项目内容（除采购人</w:t>
            </w:r>
            <w:r>
              <w:rPr>
                <w:rFonts w:hint="eastAsia" w:asciiTheme="minorEastAsia" w:hAnsiTheme="minorEastAsia" w:eastAsiaTheme="minorEastAsia" w:cstheme="minorEastAsia"/>
                <w:color w:val="auto"/>
                <w:kern w:val="0"/>
                <w:sz w:val="21"/>
                <w:szCs w:val="21"/>
                <w:highlight w:val="none"/>
                <w:vertAlign w:val="baseline"/>
                <w:lang w:val="en-US" w:eastAsia="zh-CN" w:bidi="ar"/>
              </w:rPr>
              <w:t>及授权代理人要求增加的检测项目以外）。剩余标本由供应商依据国家《医疗废物管理条例》及相关法律法规、规定处置，或者将检测剩余样本返还采购人</w:t>
            </w:r>
            <w:r>
              <w:rPr>
                <w:rFonts w:hint="eastAsia" w:asciiTheme="minorEastAsia" w:hAnsiTheme="minorEastAsia" w:eastAsiaTheme="minorEastAsia" w:cstheme="minorEastAsia"/>
                <w:color w:val="auto"/>
                <w:kern w:val="0"/>
                <w:sz w:val="21"/>
                <w:szCs w:val="21"/>
                <w:highlight w:val="none"/>
                <w:vertAlign w:val="baseline"/>
                <w:lang w:val="en-US" w:eastAsia="zh-CN" w:bidi="ar"/>
              </w:rPr>
              <w:t>；未经采购人</w:t>
            </w:r>
            <w:r>
              <w:rPr>
                <w:rFonts w:hint="eastAsia" w:asciiTheme="minorEastAsia" w:hAnsiTheme="minorEastAsia" w:eastAsiaTheme="minorEastAsia" w:cstheme="minorEastAsia"/>
                <w:color w:val="auto"/>
                <w:kern w:val="0"/>
                <w:sz w:val="21"/>
                <w:szCs w:val="21"/>
                <w:highlight w:val="none"/>
                <w:vertAlign w:val="baseline"/>
                <w:lang w:val="en-US" w:eastAsia="zh-CN" w:bidi="ar"/>
              </w:rPr>
              <w:t>授权，样本检测结果、信息及检测剩余样本不得出境，不得用于任何科研、发表刊物、教学等其他用途。</w:t>
            </w:r>
          </w:p>
          <w:p w14:paraId="6E06F447">
            <w:pPr>
              <w:pStyle w:val="19"/>
              <w:keepNext w:val="0"/>
              <w:keepLines w:val="0"/>
              <w:pageBreakBefore w:val="0"/>
              <w:widowControl/>
              <w:suppressLineNumbers w:val="0"/>
              <w:kinsoku/>
              <w:wordWrap/>
              <w:topLinePunct w:val="0"/>
              <w:bidi w:val="0"/>
              <w:spacing w:before="0" w:beforeAutospacing="0" w:after="0" w:afterAutospacing="0" w:line="360" w:lineRule="auto"/>
              <w:ind w:left="0" w:leftChars="0" w:right="0" w:firstLine="0" w:firstLineChars="0"/>
              <w:rPr>
                <w:rFonts w:hint="eastAsia" w:ascii="宋体" w:hAnsi="宋体"/>
                <w:b/>
                <w:bCs/>
                <w:color w:val="auto"/>
                <w:szCs w:val="21"/>
                <w:highlight w:val="none"/>
              </w:rPr>
            </w:pPr>
            <w:r>
              <w:rPr>
                <w:rFonts w:hint="eastAsia" w:ascii="宋体" w:hAnsi="宋体"/>
                <w:b/>
                <w:bCs/>
                <w:color w:val="auto"/>
                <w:szCs w:val="21"/>
                <w:highlight w:val="none"/>
              </w:rPr>
              <w:t>附件：新生儿高通量测序基因筛查相关检测列表明细</w:t>
            </w:r>
          </w:p>
          <w:tbl>
            <w:tblPr>
              <w:tblStyle w:val="15"/>
              <w:tblW w:w="0" w:type="auto"/>
              <w:jc w:val="center"/>
              <w:tblLayout w:type="fixed"/>
              <w:tblCellMar>
                <w:top w:w="0" w:type="dxa"/>
                <w:left w:w="108" w:type="dxa"/>
                <w:bottom w:w="0" w:type="dxa"/>
                <w:right w:w="108" w:type="dxa"/>
              </w:tblCellMar>
            </w:tblPr>
            <w:tblGrid>
              <w:gridCol w:w="743"/>
              <w:gridCol w:w="1418"/>
              <w:gridCol w:w="7371"/>
            </w:tblGrid>
            <w:tr w14:paraId="4DBCDB2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80729E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F3B484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Gene</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C40D50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bidi="ar"/>
                    </w:rPr>
                    <w:t>中文疾病名称[Inheritance]</w:t>
                  </w:r>
                </w:p>
              </w:tc>
            </w:tr>
            <w:tr w14:paraId="4E9D7DA2">
              <w:tblPrEx>
                <w:tblCellMar>
                  <w:top w:w="0" w:type="dxa"/>
                  <w:left w:w="108" w:type="dxa"/>
                  <w:bottom w:w="0" w:type="dxa"/>
                  <w:right w:w="108" w:type="dxa"/>
                </w:tblCellMar>
              </w:tblPrEx>
              <w:trPr>
                <w:trHeight w:val="174"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2C7F31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040B0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ABCB11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BFCE98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进行性家族性肝内胆汁淤积症2型[AR]；良性复发性肝内胆汁淤积症2型[AR]</w:t>
                  </w:r>
                </w:p>
              </w:tc>
            </w:tr>
            <w:tr w14:paraId="037E751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9DBB25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152536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ABCB4</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C4C5DD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进行性家族性肝内胆汁淤积症3型[AR]</w:t>
                  </w:r>
                </w:p>
              </w:tc>
            </w:tr>
            <w:tr w14:paraId="63896AE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8E364B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BFCCFB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ABCD1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F605F8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X-连锁肾上腺脑白质营养不良[XLR]</w:t>
                  </w:r>
                </w:p>
              </w:tc>
            </w:tr>
            <w:tr w14:paraId="0D77579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D9497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8DDF0E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ABCD4</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C57DEB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甲基丙二酸血症合并同型半胱氨酸血症cblJ型[AR]</w:t>
                  </w:r>
                </w:p>
              </w:tc>
            </w:tr>
            <w:tr w14:paraId="07E4DFB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8F0A0C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75239F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ABCG5</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8EE63D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谷固醇血症2型[AR]</w:t>
                  </w:r>
                </w:p>
              </w:tc>
            </w:tr>
            <w:tr w14:paraId="261AF8C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5128AC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3DA70A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ABCG8</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3E91C3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谷固醇血症1型[AR]</w:t>
                  </w:r>
                </w:p>
              </w:tc>
            </w:tr>
            <w:tr w14:paraId="1F20C30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F942B6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82321D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ACAD8</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EB79BE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异丁酰辅酶A脱氢酶缺乏症[AR]</w:t>
                  </w:r>
                </w:p>
              </w:tc>
            </w:tr>
            <w:tr w14:paraId="7E36D52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232CC1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1D5C59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ACADM</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1BE506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中链酰基辅酶A脱氢酶缺乏症[AR]</w:t>
                  </w:r>
                </w:p>
              </w:tc>
            </w:tr>
            <w:tr w14:paraId="4A8EDAF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151DF2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7E6C7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ACADS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ECFC4E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短链酰基辅酶A脱氢酶缺乏症[AR]</w:t>
                  </w:r>
                </w:p>
              </w:tc>
            </w:tr>
            <w:tr w14:paraId="5C341A2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3E3698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658FDA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ACADSB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53B6E0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2-甲基丁酰辅酶A脱氢酶缺乏症[AR]</w:t>
                  </w:r>
                </w:p>
              </w:tc>
            </w:tr>
            <w:tr w14:paraId="47523CB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2B0158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36DAB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ACADVL</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056A48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极长链酰基辅酶A脱氢酶缺乏症[AR]</w:t>
                  </w:r>
                </w:p>
              </w:tc>
            </w:tr>
            <w:tr w14:paraId="3FFD49F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B2D5BB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574AC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ACAT1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D8DBDA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β-酮硫解酶缺乏症[AR]</w:t>
                  </w:r>
                </w:p>
              </w:tc>
            </w:tr>
            <w:tr w14:paraId="3CE51B0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4EB9D5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AC7CE9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ACSF3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A6277F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甲基丙二酸合并丙二酸尿症[AR]</w:t>
                  </w:r>
                </w:p>
              </w:tc>
            </w:tr>
            <w:tr w14:paraId="547B661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B79E61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88E8AF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ADA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5D23A8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腺苷脱氨酶缺乏症[AR]</w:t>
                  </w:r>
                </w:p>
              </w:tc>
            </w:tr>
            <w:tr w14:paraId="63053DC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F5FE01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88B98D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AGL</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B4DCDC4">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糖原累积病III型[AR]</w:t>
                  </w:r>
                </w:p>
              </w:tc>
            </w:tr>
            <w:tr w14:paraId="697F0E1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7C9C85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CF8C29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ALDH7A1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8FFB3A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吡哆醇依赖性癫痫[AR]</w:t>
                  </w:r>
                </w:p>
              </w:tc>
            </w:tr>
            <w:tr w14:paraId="070E6FD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F48E5F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39CDF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ALDOB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F1C19D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遗传性果糖不耐受症[AR]</w:t>
                  </w:r>
                </w:p>
              </w:tc>
            </w:tr>
            <w:tr w14:paraId="1FB2A90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BB1FE5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242322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APOB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427361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家族性高胆固醇血症2型[AD]</w:t>
                  </w:r>
                </w:p>
              </w:tc>
            </w:tr>
            <w:tr w14:paraId="4FAD815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F0E559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5EAC69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ARG1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3ACBD4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精氨酸酶缺乏症[AR]</w:t>
                  </w:r>
                </w:p>
              </w:tc>
            </w:tr>
            <w:tr w14:paraId="1D3B40C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80DA1C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63F590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ARSA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72D45F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异染性脑白质营养不良[AR]</w:t>
                  </w:r>
                </w:p>
              </w:tc>
            </w:tr>
            <w:tr w14:paraId="22DF4B3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C993B5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B33BF2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ARSB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FCD7FB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黏多糖贮积症VI型[AR]</w:t>
                  </w:r>
                </w:p>
              </w:tc>
            </w:tr>
            <w:tr w14:paraId="2081595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562FED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1E8F66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ASL</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D815F5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精氨酰琥珀酸尿症[AR]</w:t>
                  </w:r>
                </w:p>
              </w:tc>
            </w:tr>
            <w:tr w14:paraId="47348DF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586A62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D8F385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ASS1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56331E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瓜氨酸血症I型[AR]</w:t>
                  </w:r>
                </w:p>
              </w:tc>
            </w:tr>
            <w:tr w14:paraId="4EF710C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89DFCB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F5BF20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ATP7A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13D290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Menkes病[XLR]</w:t>
                  </w:r>
                </w:p>
              </w:tc>
            </w:tr>
            <w:tr w14:paraId="386C94E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1A1E15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2429E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ATP7B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B8C059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肝豆状核变性[AR]</w:t>
                  </w:r>
                </w:p>
              </w:tc>
            </w:tr>
            <w:tr w14:paraId="5B5444A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EAAB2B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C0E108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ATP8B1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60AE10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进行性家族性肝内胆汁淤积症1型[AR]；良性复发性肝内胆汁淤积症1型[AR]</w:t>
                  </w:r>
                </w:p>
              </w:tc>
            </w:tr>
            <w:tr w14:paraId="4495ADE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B28408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EA3C7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BCKDHA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1A9015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枫糖尿症Ia型[AR]</w:t>
                  </w:r>
                </w:p>
              </w:tc>
            </w:tr>
            <w:tr w14:paraId="42BF6E0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5F9BA1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DC547E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BCKDHB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C684BB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枫糖尿症Ib型[AR]</w:t>
                  </w:r>
                </w:p>
              </w:tc>
            </w:tr>
            <w:tr w14:paraId="2429ECB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DDA371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29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95FBF5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BTD</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E578C5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生物素酶缺乏症[AR]</w:t>
                  </w:r>
                </w:p>
              </w:tc>
            </w:tr>
            <w:tr w14:paraId="4F722A3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3E448A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12377F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BTK</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587F24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X连锁无丙种球蛋白血症[XLR]</w:t>
                  </w:r>
                </w:p>
              </w:tc>
            </w:tr>
            <w:tr w14:paraId="17E4F4B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858EF5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F98622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CAPN3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27ED6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肢带型肌营养不良2A型[AR]</w:t>
                  </w:r>
                </w:p>
              </w:tc>
            </w:tr>
            <w:tr w14:paraId="0463AC4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43EBA5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B5718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CBS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A412D3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胱硫醚β-合成酶缺陷型同型半胱氨酸尿症[AR]</w:t>
                  </w:r>
                </w:p>
              </w:tc>
            </w:tr>
            <w:tr w14:paraId="500E7E4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2C87CD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606D52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CFTR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470BC5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囊性纤维化[AR]；先天性输精管缺如[AR]</w:t>
                  </w:r>
                </w:p>
              </w:tc>
            </w:tr>
            <w:tr w14:paraId="2084E3F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BD8218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E25E6E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COL1A1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73066B4">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成骨不全1型[AD]</w:t>
                  </w:r>
                </w:p>
              </w:tc>
            </w:tr>
            <w:tr w14:paraId="61B71CD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EAD18B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679C6E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COL1A2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D46EB6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成骨不全2型[AD]</w:t>
                  </w:r>
                </w:p>
              </w:tc>
            </w:tr>
            <w:tr w14:paraId="3DFDD5C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0FB2AA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FD13ED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COL2A1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3FF71A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软骨发育不全[AD]；先天性脊柱骨骺发育不良[AD]</w:t>
                  </w:r>
                </w:p>
              </w:tc>
            </w:tr>
            <w:tr w14:paraId="2CAF4A4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EA9DD0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C31615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CPS1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6DBBF1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氨甲酰磷酸合成酶I缺乏症[AR]</w:t>
                  </w:r>
                </w:p>
              </w:tc>
            </w:tr>
            <w:tr w14:paraId="05701C8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C96DCB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FBD60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CPT1A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39A18B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肉碱棕榈酰转移酶I缺乏症[AR]</w:t>
                  </w:r>
                </w:p>
              </w:tc>
            </w:tr>
            <w:tr w14:paraId="5B2C9EE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B3FDBA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35A922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CPT2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A01040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肉碱棕榈酰转移酶II缺乏症[AR]</w:t>
                  </w:r>
                </w:p>
              </w:tc>
            </w:tr>
            <w:tr w14:paraId="187648E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6CBE09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164DAF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CYBB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51BB88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原发性慢性肉芽肿病[XLR]</w:t>
                  </w:r>
                </w:p>
              </w:tc>
            </w:tr>
            <w:tr w14:paraId="5DF1B4D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B8E305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3FDC58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DBT</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82FD8D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枫糖尿症II型[AR]</w:t>
                  </w:r>
                </w:p>
              </w:tc>
            </w:tr>
            <w:tr w14:paraId="79C27C9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A249DE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C443A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DDC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5096D5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芳香族L-氨基酸脱羧酶缺乏症[AR]</w:t>
                  </w:r>
                </w:p>
              </w:tc>
            </w:tr>
            <w:tr w14:paraId="4D7610C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6FD57E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BAD751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DSG2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D90AFD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致心律失常性右心室发育不良[AD]；扩张型心肌病[AD]</w:t>
                  </w:r>
                </w:p>
              </w:tc>
            </w:tr>
            <w:tr w14:paraId="6A7D56F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516582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B0B56E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DSP</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524171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致心律失常性右心室发育不良[AD]；扩张型心肌病[AD]</w:t>
                  </w:r>
                </w:p>
              </w:tc>
            </w:tr>
            <w:tr w14:paraId="5F7D3F4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3E9E7B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C9B2FD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DUOX2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196E25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先天性甲状腺分泌障碍6型[AR]</w:t>
                  </w:r>
                </w:p>
              </w:tc>
            </w:tr>
            <w:tr w14:paraId="0032A6E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E75420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23B2C5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DYSF</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7E8319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肢带肌营养不良2型[AR]</w:t>
                  </w:r>
                </w:p>
              </w:tc>
            </w:tr>
            <w:tr w14:paraId="4F0393E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38ABAB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507A0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ETFA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AB66AC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多种酰基辅酶A脱氢酶缺乏症[AR]</w:t>
                  </w:r>
                </w:p>
              </w:tc>
            </w:tr>
            <w:tr w14:paraId="0AE071B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978FB9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FF23A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ETFDH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8F6546E">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多种酰基辅酶A脱氢酶缺乏症[AR]</w:t>
                  </w:r>
                </w:p>
              </w:tc>
            </w:tr>
            <w:tr w14:paraId="2A78FD9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C5A735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49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4AB79E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ETHE1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FB622F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乙基丙二酸脑病[AR]</w:t>
                  </w:r>
                </w:p>
              </w:tc>
            </w:tr>
            <w:tr w14:paraId="01E3505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D97D1E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04C234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F9</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E39D31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血友病 B[XLR]</w:t>
                  </w:r>
                </w:p>
              </w:tc>
            </w:tr>
            <w:tr w14:paraId="06E35EE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9B665B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9F6601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FAH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780EA2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酪氨酸血症I型[AR]</w:t>
                  </w:r>
                </w:p>
              </w:tc>
            </w:tr>
            <w:tr w14:paraId="48B3EE5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05723E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FD4162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FBN1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6CC9A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马凡综合征[AD]</w:t>
                  </w:r>
                </w:p>
              </w:tc>
            </w:tr>
            <w:tr w14:paraId="231B907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2C9096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26626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FGFR3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4FC672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软骨发育不全[AD]</w:t>
                  </w:r>
                </w:p>
              </w:tc>
            </w:tr>
            <w:tr w14:paraId="15D5F56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F52442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7E13C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G6PC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D59DA5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糖原累积病Ia型[AR]</w:t>
                  </w:r>
                </w:p>
              </w:tc>
            </w:tr>
            <w:tr w14:paraId="5D49758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934B96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71D7D0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16026D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糖原累积病II型[AR]</w:t>
                  </w:r>
                </w:p>
              </w:tc>
            </w:tr>
            <w:tr w14:paraId="1E5A210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F91672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73DA61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GALC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284AEF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克拉伯病[AR]</w:t>
                  </w:r>
                </w:p>
              </w:tc>
            </w:tr>
            <w:tr w14:paraId="1C4A395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1E3E9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4F6388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GALE</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A3F89CE">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半乳糖差向异构酶缺乏症[AR]</w:t>
                  </w:r>
                </w:p>
              </w:tc>
            </w:tr>
            <w:tr w14:paraId="461442C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517FFF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5473F8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GALK1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EA9BFC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半乳糖激酶缺乏症[AR]</w:t>
                  </w:r>
                </w:p>
              </w:tc>
            </w:tr>
            <w:tr w14:paraId="7063050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C5AF46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59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E33B6D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GALNS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A0D6C8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黏多糖贮积症IVA型[AR]</w:t>
                  </w:r>
                </w:p>
              </w:tc>
            </w:tr>
            <w:tr w14:paraId="1259B5C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DCC534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F9808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GALT</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BD43A5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半乳糖血症[AR]</w:t>
                  </w:r>
                </w:p>
              </w:tc>
            </w:tr>
            <w:tr w14:paraId="17F0300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80F872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428952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GAMT</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454DA0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脑肌酸缺乏综合征2型[AR]</w:t>
                  </w:r>
                </w:p>
              </w:tc>
            </w:tr>
            <w:tr w14:paraId="6C7EE8E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2330E5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0CF9D1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GBA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8BD2C9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戈谢病[AR]</w:t>
                  </w:r>
                </w:p>
              </w:tc>
            </w:tr>
            <w:tr w14:paraId="77EDC80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B31C48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32368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GCDH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E74411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戊二酸血症I型[AR]</w:t>
                  </w:r>
                </w:p>
              </w:tc>
            </w:tr>
            <w:tr w14:paraId="4AE926A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698AB4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DBDC52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GCH1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4ED56D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多巴反应性肌张力障碍伴或不伴有高苯丙氨酸血症[AR,AD]</w:t>
                  </w:r>
                </w:p>
              </w:tc>
            </w:tr>
            <w:tr w14:paraId="195BF92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C85939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708A1C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GJB2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674B99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常染色体隐性耳聋1A型（含双基因）[AR]</w:t>
                  </w:r>
                </w:p>
              </w:tc>
            </w:tr>
            <w:tr w14:paraId="4735451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655BED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0993FB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GJB3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DCAC6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常染色体显性耳聋2B型[AD]</w:t>
                  </w:r>
                </w:p>
              </w:tc>
            </w:tr>
            <w:tr w14:paraId="0B1A82F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238D8A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0E0AE3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GLA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05C8B6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法布里病[XL]</w:t>
                  </w:r>
                </w:p>
              </w:tc>
            </w:tr>
            <w:tr w14:paraId="192D01A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5A1067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129518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GLB1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AF0BE8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黏多糖贮积症IVB型[AR]；GM1神经节苷脂沉积症[AR]</w:t>
                  </w:r>
                </w:p>
              </w:tc>
            </w:tr>
            <w:tr w14:paraId="1E8F234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1D2164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69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86E4DB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GLDC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2ED740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非酮性高甘氨酸血症[AR]</w:t>
                  </w:r>
                </w:p>
              </w:tc>
            </w:tr>
            <w:tr w14:paraId="4547AC7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BECAAE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327692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GNPTAB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A25200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黏脂贮积症IIα/β型[AR]；黏脂贮积症IIIα/β型[AR]</w:t>
                  </w:r>
                </w:p>
              </w:tc>
            </w:tr>
            <w:tr w14:paraId="05E26E1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3F7FFF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72768F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GUSB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96AEF3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黏多糖贮积症VII型[AR]</w:t>
                  </w:r>
                </w:p>
              </w:tc>
            </w:tr>
            <w:tr w14:paraId="3A297E8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27D303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3722B6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HADHA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EFB550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长链-3-羟酰基辅酶A脱氢酶缺乏症[AR]</w:t>
                  </w:r>
                </w:p>
              </w:tc>
            </w:tr>
            <w:tr w14:paraId="6298589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68975F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2A39A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HADHB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3C9AC4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线粒体三功能蛋白缺乏症[AR]</w:t>
                  </w:r>
                </w:p>
              </w:tc>
            </w:tr>
            <w:tr w14:paraId="553D82C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4651EE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F05F09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HBB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FA82DB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β-地中海贫血[AR]</w:t>
                  </w:r>
                </w:p>
              </w:tc>
            </w:tr>
            <w:tr w14:paraId="24040F7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7E60E8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D34D1E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HEXA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8463FB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Tay-Sachs病[AR]</w:t>
                  </w:r>
                </w:p>
              </w:tc>
            </w:tr>
            <w:tr w14:paraId="036F24B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451815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D66FA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HLCS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21EDED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全羧化酶合成酶缺乏症[AR]</w:t>
                  </w:r>
                </w:p>
              </w:tc>
            </w:tr>
            <w:tr w14:paraId="11C2019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EB4E97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9104E9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HMGCL</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598B4A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3-羟基-3-甲基戊二酰辅酶A裂解酶缺乏症[AR]</w:t>
                  </w:r>
                </w:p>
              </w:tc>
            </w:tr>
            <w:tr w14:paraId="5A236CC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5CA91C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F499BA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HPD</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9DED69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酪氨酸血症III型[AR]</w:t>
                  </w:r>
                </w:p>
              </w:tc>
            </w:tr>
            <w:tr w14:paraId="2E6216A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F66808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79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91A3A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HSD3B7</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50547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先天性胆汁酸合成障碍1型[AR]</w:t>
                  </w:r>
                </w:p>
              </w:tc>
            </w:tr>
            <w:tr w14:paraId="0FBF1AD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993EB3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8B1677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IDS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04B338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黏多糖贮积症II型[XLR]</w:t>
                  </w:r>
                </w:p>
              </w:tc>
            </w:tr>
            <w:tr w14:paraId="2D55868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F7D8D3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298807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IDUA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256A3A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黏多糖贮积症I型[AR]</w:t>
                  </w:r>
                </w:p>
              </w:tc>
            </w:tr>
            <w:tr w14:paraId="73830391">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FA17D0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8E00CF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IL10RA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FAAE03E">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早发炎症性肠病[AR]</w:t>
                  </w:r>
                </w:p>
              </w:tc>
            </w:tr>
            <w:tr w14:paraId="5782617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5A31DE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36613E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IL2RG</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C27D5D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X连锁重症联合免疫缺陷[XLR]</w:t>
                  </w:r>
                </w:p>
              </w:tc>
            </w:tr>
            <w:tr w14:paraId="664D908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07A05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E0A0E3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IVD</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861A26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异戊酸血症[AR]</w:t>
                  </w:r>
                </w:p>
              </w:tc>
            </w:tr>
            <w:tr w14:paraId="7D984C1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D94A30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EE0A4F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JAG1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37449F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Alagille综合征1型[AD]</w:t>
                  </w:r>
                </w:p>
              </w:tc>
            </w:tr>
            <w:tr w14:paraId="4E04298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53AAF8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00C47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KCNH2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771A24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长QT间期综合征[AD]；短QT间期综合征[AD]</w:t>
                  </w:r>
                </w:p>
              </w:tc>
            </w:tr>
            <w:tr w14:paraId="768D8D8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FFC0DB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DD1A3C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KCNQ1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7C5A05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长QT间期综合征[AD]；短QT间期综合征[AD]</w:t>
                  </w:r>
                </w:p>
              </w:tc>
            </w:tr>
            <w:tr w14:paraId="0720E98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93E058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9C14B7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KCNQ2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3751F94">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新生儿良性惊厥1型[AD]</w:t>
                  </w:r>
                </w:p>
              </w:tc>
            </w:tr>
            <w:tr w14:paraId="5927717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86933D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89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E75331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L2HGDH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5E3548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L-2-羟基戊二酸尿症[AR]</w:t>
                  </w:r>
                </w:p>
              </w:tc>
            </w:tr>
            <w:tr w14:paraId="33330AA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94FB27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906A4E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LAMA2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102DDC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Merosin缺陷型先天性肌营养不良[AR]</w:t>
                  </w:r>
                </w:p>
              </w:tc>
            </w:tr>
            <w:tr w14:paraId="3B57EE9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393565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1FE9C8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LDLR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6A6ADE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家族性高胆固醇血症1型[AD]</w:t>
                  </w:r>
                </w:p>
              </w:tc>
            </w:tr>
            <w:tr w14:paraId="2D5326B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E16C4C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850DD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MAT1A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74F4C1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甲硫氨酸腺苷转移酶I/III缺陷[AR,AD]</w:t>
                  </w:r>
                </w:p>
              </w:tc>
            </w:tr>
            <w:tr w14:paraId="5B90CA51">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A913C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7C193E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MCCC1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7FD4C3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3-甲基巴豆酰辅酶A羧化酶缺乏症1型[AR]</w:t>
                  </w:r>
                </w:p>
              </w:tc>
            </w:tr>
            <w:tr w14:paraId="2457D55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EBC92C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E6CB69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MCCC2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5ABF40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3-甲基巴豆酰辅酶A羧化酶缺乏症2型[AR]</w:t>
                  </w:r>
                </w:p>
              </w:tc>
            </w:tr>
            <w:tr w14:paraId="69697EE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9DE997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70458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MECP2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10A02A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Rett综合征[XLD]</w:t>
                  </w:r>
                </w:p>
              </w:tc>
            </w:tr>
            <w:tr w14:paraId="24A1DA8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A9DB9B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A77AA0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MMAA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8C2469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甲基丙二酸血症cblA型[AR]</w:t>
                  </w:r>
                </w:p>
              </w:tc>
            </w:tr>
            <w:tr w14:paraId="2755414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50FA90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D3F7E8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MMAB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F900C8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甲基丙二酸血症cblB型[AR]</w:t>
                  </w:r>
                </w:p>
              </w:tc>
            </w:tr>
            <w:tr w14:paraId="1343170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AFBC48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DC5AEE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MMACHC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2E987C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甲基丙二酸血症合并同型半胱氨酸血症cblC型[AR]</w:t>
                  </w:r>
                </w:p>
              </w:tc>
            </w:tr>
            <w:tr w14:paraId="443FF11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E87933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99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01A825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MMUT</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FEC958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甲基丙二酸血症mut型[AR]</w:t>
                  </w:r>
                </w:p>
              </w:tc>
            </w:tr>
            <w:tr w14:paraId="31E1BFB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44405A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70F01B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MTHFR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691FAC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亚甲基四氢叶酸还原酶缺陷型同型半胱氨酸尿症[AR]</w:t>
                  </w:r>
                </w:p>
              </w:tc>
            </w:tr>
            <w:tr w14:paraId="5E3E745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97A1F4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B1DBF6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MTR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C78CD5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同型半胱氨酸血症合并巨幼红细胞性贫血cblG型[AR]</w:t>
                  </w:r>
                </w:p>
              </w:tc>
            </w:tr>
            <w:tr w14:paraId="42AC9B7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7E2C10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1AED9B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MT-RNR1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57C10A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氨基糖苷类药物敏感性耳聋</w:t>
                  </w:r>
                </w:p>
              </w:tc>
            </w:tr>
            <w:tr w14:paraId="03FDE38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D0D4BC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9E06D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MTRR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5F502C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同型半胱氨酸血症合并巨幼红细胞性贫血cblE型[AR]</w:t>
                  </w:r>
                </w:p>
              </w:tc>
            </w:tr>
            <w:tr w14:paraId="551A431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FC3591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2F57AF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MYBPC3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32C1EC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肥厚型心肌病[AD]；扩张型心肌病[AD]</w:t>
                  </w:r>
                </w:p>
              </w:tc>
            </w:tr>
            <w:tr w14:paraId="58EC31D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414084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FA1F30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MYH7</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33553B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肥厚型心肌病[AD]；扩张型心肌病[AD]</w:t>
                  </w:r>
                </w:p>
              </w:tc>
            </w:tr>
            <w:tr w14:paraId="1297806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31778F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519A8A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MYO5B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B262DB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微绒毛包涵体病[AR]</w:t>
                  </w:r>
                </w:p>
              </w:tc>
            </w:tr>
            <w:tr w14:paraId="500C630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8E1168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A131F1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NAGS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2B1843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N-乙酰谷氨酸合成酶缺乏症[AR]</w:t>
                  </w:r>
                </w:p>
              </w:tc>
            </w:tr>
            <w:tr w14:paraId="3578354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04A97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98B5E1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NF1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7BCD55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神经纤维瘤病1型[AD]</w:t>
                  </w:r>
                </w:p>
              </w:tc>
            </w:tr>
            <w:tr w14:paraId="2E88BFA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B02FEB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109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A7AE9E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NF2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1ABC368">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神经纤维瘤病2型[AD]</w:t>
                  </w:r>
                </w:p>
              </w:tc>
            </w:tr>
            <w:tr w14:paraId="474E9C2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FCBB31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5D88C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NPC1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3A75C0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尼曼匹克病C1/D型[AR]</w:t>
                  </w:r>
                </w:p>
              </w:tc>
            </w:tr>
            <w:tr w14:paraId="1CEA345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325AF3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28038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NPC2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6DF8CA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尼曼匹克病C2型[AR]</w:t>
                  </w:r>
                </w:p>
              </w:tc>
            </w:tr>
            <w:tr w14:paraId="070244E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EC240A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985586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NPHS1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199C44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肾病综合征1型[AR]</w:t>
                  </w:r>
                </w:p>
              </w:tc>
            </w:tr>
            <w:tr w14:paraId="6887434E">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9F400D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90AB18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OCA2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4298520">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眼皮肤白化病2型[AR]</w:t>
                  </w:r>
                </w:p>
              </w:tc>
            </w:tr>
            <w:tr w14:paraId="534431A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F9BC42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A6997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OTC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595BE5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鸟氨酸氨甲酰基转移酶缺乏症[XLR]</w:t>
                  </w:r>
                </w:p>
              </w:tc>
            </w:tr>
            <w:tr w14:paraId="15F9D4C1">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AA2D95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C2E0D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PAH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0E8F6C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114300"/>
                        <wp:effectExtent l="0" t="0" r="0" b="0"/>
                        <wp:wrapNone/>
                        <wp:docPr id="6" name="AutoShap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toShape_1"/>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Theme="minorEastAsia" w:hAnsiTheme="minorEastAsia" w:eastAsiaTheme="minorEastAsia" w:cstheme="minorEastAsia"/>
                      <w:color w:val="auto"/>
                      <w:sz w:val="18"/>
                      <w:szCs w:val="18"/>
                      <w:highlight w:val="none"/>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114300"/>
                        <wp:effectExtent l="0" t="0" r="0" b="0"/>
                        <wp:wrapNone/>
                        <wp:docPr id="5" name="AutoShape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oShape_1_SpCnt_1"/>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Theme="minorEastAsia" w:hAnsiTheme="minorEastAsia" w:eastAsiaTheme="minorEastAsia" w:cstheme="minorEastAsia"/>
                      <w:color w:val="auto"/>
                      <w:sz w:val="18"/>
                      <w:szCs w:val="18"/>
                      <w:highlight w:val="none"/>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165" cy="114300"/>
                        <wp:effectExtent l="0" t="0" r="0" b="0"/>
                        <wp:wrapNone/>
                        <wp:docPr id="7" name="AutoShape_1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toShape_1_SpCnt_2"/>
                                <pic:cNvPicPr>
                                  <a:picLocks noChangeAspect="1"/>
                                </pic:cNvPicPr>
                              </pic:nvPicPr>
                              <pic:blipFill>
                                <a:blip r:embed="rId5"/>
                                <a:stretch>
                                  <a:fillRect/>
                                </a:stretch>
                              </pic:blipFill>
                              <pic:spPr>
                                <a:xfrm>
                                  <a:off x="0" y="0"/>
                                  <a:ext cx="304165" cy="114300"/>
                                </a:xfrm>
                                <a:prstGeom prst="rect">
                                  <a:avLst/>
                                </a:prstGeom>
                                <a:noFill/>
                                <a:ln>
                                  <a:noFill/>
                                </a:ln>
                              </pic:spPr>
                            </pic:pic>
                          </a:graphicData>
                        </a:graphic>
                      </wp:anchor>
                    </w:drawing>
                  </w:r>
                  <w:r>
                    <w:rPr>
                      <w:rFonts w:hint="eastAsia" w:asciiTheme="minorEastAsia" w:hAnsiTheme="minorEastAsia" w:eastAsiaTheme="minorEastAsia" w:cstheme="minorEastAsia"/>
                      <w:color w:val="auto"/>
                      <w:sz w:val="18"/>
                      <w:szCs w:val="18"/>
                      <w:highlight w:val="none"/>
                      <w:lang w:bidi="ar"/>
                    </w:rPr>
                    <w:t>苯丙酮尿症[AR]</w:t>
                  </w:r>
                </w:p>
              </w:tc>
            </w:tr>
            <w:tr w14:paraId="74735D8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20907D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253292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PC</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221BF9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丙酮酸羧化酶缺乏症[AR]</w:t>
                  </w:r>
                </w:p>
              </w:tc>
            </w:tr>
            <w:tr w14:paraId="601CF11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97299E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954A9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PCCA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D97F59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丙酸血症[AR]</w:t>
                  </w:r>
                </w:p>
              </w:tc>
            </w:tr>
            <w:tr w14:paraId="7A5C169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076525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88202B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PCCB</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7D9E95E">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丙酸血症[AR]</w:t>
                  </w:r>
                </w:p>
              </w:tc>
            </w:tr>
            <w:tr w14:paraId="4D9FCF4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5A6076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119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32A3A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PCSK9</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CCE139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家族性高胆固醇血症3型[AD]</w:t>
                  </w:r>
                </w:p>
              </w:tc>
            </w:tr>
            <w:tr w14:paraId="535B5C2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2C28FE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EBC577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PHKA2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C476E8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糖原累积病IX型[XLR]</w:t>
                  </w:r>
                </w:p>
              </w:tc>
            </w:tr>
            <w:tr w14:paraId="2BA6909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DA7465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46A7CF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PKLR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8797C5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红细胞丙酮酸激酶缺乏症[AR]</w:t>
                  </w:r>
                </w:p>
              </w:tc>
            </w:tr>
            <w:tr w14:paraId="724330E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18BB26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E6EF81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PKP2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5AFD6E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致心律失常性右心室发育不良[AD]；扩张型心肌病[AD]</w:t>
                  </w:r>
                </w:p>
              </w:tc>
            </w:tr>
            <w:tr w14:paraId="7EFB67D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93E93C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FB817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PNPO</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081D5B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吡哆胺5'-磷酸氧化酶缺乏症[AR]</w:t>
                  </w:r>
                </w:p>
              </w:tc>
            </w:tr>
            <w:tr w14:paraId="05A0A31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22ADA4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2080CA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PRODH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55FDB4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高脯氨酸血症 I型[AR]</w:t>
                  </w:r>
                </w:p>
              </w:tc>
            </w:tr>
            <w:tr w14:paraId="5D5F4CB6">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834BBE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DE0678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PRRT2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3B6FCF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家族性婴儿型惊厥伴阵发性舞蹈手足徐动症[AD]；阵发性运动诱发性运动障碍[AD]</w:t>
                  </w:r>
                </w:p>
              </w:tc>
            </w:tr>
            <w:tr w14:paraId="23DB0DA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8E9087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EE7688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PTPN11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96456B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努南综合征1型[AD]</w:t>
                  </w:r>
                </w:p>
              </w:tc>
            </w:tr>
            <w:tr w14:paraId="231B482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3AD77F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6A1889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PTS</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9B87E3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四氢生物蝶呤缺乏型高苯丙氨酸血症A型[AR]</w:t>
                  </w:r>
                </w:p>
              </w:tc>
            </w:tr>
            <w:tr w14:paraId="249DD63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6275B9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E43A02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PYGL</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EB5DB2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糖原累积病VI型[AR]</w:t>
                  </w:r>
                </w:p>
              </w:tc>
            </w:tr>
            <w:tr w14:paraId="24C0999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6BF534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129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E770FA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QDPR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E93F75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四氢生物蝶呤缺乏型高苯丙氨酸血症C型[AR]</w:t>
                  </w:r>
                </w:p>
              </w:tc>
            </w:tr>
            <w:tr w14:paraId="3859AC58">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EF2E7B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1F102E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RAF1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BD732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努南综合征5型[AD]</w:t>
                  </w:r>
                </w:p>
              </w:tc>
            </w:tr>
            <w:tr w14:paraId="0E9026E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52E0F15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D21974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RB1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2466FD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视网膜母细胞瘤[AD]</w:t>
                  </w:r>
                </w:p>
              </w:tc>
            </w:tr>
            <w:tr w14:paraId="66F9EBC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4EE1A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BA2A75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RYR2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B3551B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致心律失常性右心室发育不良[AD]；儿茶酚胺敏感性多形性室性心动过速[AD]</w:t>
                  </w:r>
                </w:p>
              </w:tc>
            </w:tr>
            <w:tr w14:paraId="667FC1A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9AAB57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8DD663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SCN1A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CBABAB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Dravet综合征[AD]</w:t>
                  </w:r>
                </w:p>
              </w:tc>
            </w:tr>
            <w:tr w14:paraId="6C25CC2C">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6D6E0F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785E01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SCN2A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8D5ECE2">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早发型发育性癫痫脑病[AD]；发作性共济失调[AD]</w:t>
                  </w:r>
                </w:p>
              </w:tc>
            </w:tr>
            <w:tr w14:paraId="225D8F6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F56FEA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ADFC69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SCN5A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FD7919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长QT间期综合征[AD]；扩张型心肌病[AD]；Brugada综合征[AD]</w:t>
                  </w:r>
                </w:p>
              </w:tc>
            </w:tr>
            <w:tr w14:paraId="0C378E2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03E476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0391A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SGSH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E898E2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黏多糖贮积症IIIA型[AR]</w:t>
                  </w:r>
                </w:p>
              </w:tc>
            </w:tr>
            <w:tr w14:paraId="0B5179E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B84E25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164E0A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SLC10A1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32FC94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钠牛磺胆酸共转运多肽缺陷病（家族性高胆汁酸血症2型）[AR]</w:t>
                  </w:r>
                </w:p>
              </w:tc>
            </w:tr>
            <w:tr w14:paraId="40B6DBD9">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694299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7C2E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SLC12A3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5D6DC64">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Gitelman综合征[AR]</w:t>
                  </w:r>
                </w:p>
              </w:tc>
            </w:tr>
            <w:tr w14:paraId="640CBDA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34F64A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139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611D13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SLC22A5</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32DB85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原发性肉碱缺乏症[AR]</w:t>
                  </w:r>
                </w:p>
              </w:tc>
            </w:tr>
            <w:tr w14:paraId="13F6657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1E3D46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8EA670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SLC25A13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68FB286">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Citrin缺乏症[AR]</w:t>
                  </w:r>
                </w:p>
              </w:tc>
            </w:tr>
            <w:tr w14:paraId="4C47DD81">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B47B48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99369B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SLC25A15</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FE17F4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高鸟氨酸血症-高氨血症-同型瓜氨酸尿症[AR]</w:t>
                  </w:r>
                </w:p>
              </w:tc>
            </w:tr>
            <w:tr w14:paraId="05C35E2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B6308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39FAD7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SLC25A20</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61BACAF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肉碱-酰基肉碱转位酶缺乏症[AR]</w:t>
                  </w:r>
                </w:p>
              </w:tc>
            </w:tr>
            <w:tr w14:paraId="7D4A0DC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43C203CB">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BA21B4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SLC26A4</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1D05FB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常染色体隐性耳聋4型伴前庭导水管扩大[AR]；Pendred综合征[AR]</w:t>
                  </w:r>
                </w:p>
              </w:tc>
            </w:tr>
            <w:tr w14:paraId="6940FA05">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7B41C6F">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FB98CE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SLC37A4</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D9C9B6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糖原累积病Ib/Ic型[AR]</w:t>
                  </w:r>
                </w:p>
              </w:tc>
            </w:tr>
            <w:tr w14:paraId="379BAE2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81565E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961D90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SLC6A8</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772C9399">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脑肌酸缺乏综合征1型[XLR]</w:t>
                  </w:r>
                </w:p>
              </w:tc>
            </w:tr>
            <w:tr w14:paraId="7557EE30">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812D82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914C4D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SMPD1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44D627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尼曼匹克病A/B型[AR]</w:t>
                  </w:r>
                </w:p>
              </w:tc>
            </w:tr>
            <w:tr w14:paraId="6C2E7C5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054EFC38">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AACD410">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SOS1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ACB2865">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努南综合征4型[AD]</w:t>
                  </w:r>
                </w:p>
              </w:tc>
            </w:tr>
            <w:tr w14:paraId="1A889D9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70D465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AF118A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SRD5A2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9B6D79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类固醇5-α还原酶缺乏症[AR]</w:t>
                  </w:r>
                </w:p>
              </w:tc>
            </w:tr>
            <w:tr w14:paraId="3DD9A483">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7B96E5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149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0272E27">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SUCLG1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2E574EB">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线粒体DNA耗竭综合征9型[AR]</w:t>
                  </w:r>
                </w:p>
              </w:tc>
            </w:tr>
            <w:tr w14:paraId="5B500B6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B4CCF7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74A446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TAT</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2B9199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酪氨酸血症II型[AR]</w:t>
                  </w:r>
                </w:p>
              </w:tc>
            </w:tr>
            <w:tr w14:paraId="4590233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013884E">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03734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TG</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082786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先天性甲状腺分泌障碍3型[AR]</w:t>
                  </w:r>
                </w:p>
              </w:tc>
            </w:tr>
            <w:tr w14:paraId="78DE1197">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09ED21D">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4A431A3">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TH</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20FF81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常染色体隐性Segawa综合征[AR]</w:t>
                  </w:r>
                </w:p>
              </w:tc>
            </w:tr>
            <w:tr w14:paraId="107AC2F2">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E516F02">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22F23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TNNI3</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276365A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肥厚型心肌病[AD]；扩张型心肌病[AD]</w:t>
                  </w:r>
                </w:p>
              </w:tc>
            </w:tr>
            <w:tr w14:paraId="029B39FF">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42C11F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545EBE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TNNT2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DA8CAEA">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肥厚型心肌病[AD]；扩张型心肌病[AD]</w:t>
                  </w:r>
                </w:p>
              </w:tc>
            </w:tr>
            <w:tr w14:paraId="7A45132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CF1799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7FDF4F9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TSC1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4A8CED13">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结节性硬化症1型[AD]</w:t>
                  </w:r>
                </w:p>
              </w:tc>
            </w:tr>
            <w:tr w14:paraId="2BF9B944">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168CEF3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AB4BED9">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TSC2</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C4DA067">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结节性硬化症2型[AD]</w:t>
                  </w:r>
                </w:p>
              </w:tc>
            </w:tr>
            <w:tr w14:paraId="3608B6DB">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66BC6FB6">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08EA262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TSHR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3936341C">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非甲状腺肿先天性甲状腺功能低下症1型[AR]</w:t>
                  </w:r>
                </w:p>
              </w:tc>
            </w:tr>
            <w:tr w14:paraId="2CC6518A">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5C14674">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736D9D5">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TYR</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1F695EC1">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眼皮肤白化病1型[AR]</w:t>
                  </w:r>
                </w:p>
              </w:tc>
            </w:tr>
            <w:tr w14:paraId="42B2F13D">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2946277A">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159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C542AB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UGT1A1</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07EC83DF">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Gilbert综合征[AR]；Crigler-Najjar综合征I型[AR]；Crigler-Najjar综合征II型[AR]</w:t>
                  </w:r>
                </w:p>
              </w:tc>
            </w:tr>
            <w:tr w14:paraId="14A268D1">
              <w:tblPrEx>
                <w:tblCellMar>
                  <w:top w:w="0" w:type="dxa"/>
                  <w:left w:w="108" w:type="dxa"/>
                  <w:bottom w:w="0" w:type="dxa"/>
                  <w:right w:w="108" w:type="dxa"/>
                </w:tblCellMar>
              </w:tblPrEx>
              <w:trPr>
                <w:trHeight w:val="227" w:hRule="atLeast"/>
                <w:jc w:val="center"/>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7DF0E6C">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160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FA5ED41">
                  <w:pPr>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iCs/>
                      <w:color w:val="auto"/>
                      <w:sz w:val="18"/>
                      <w:szCs w:val="18"/>
                      <w:highlight w:val="none"/>
                    </w:rPr>
                  </w:pPr>
                  <w:r>
                    <w:rPr>
                      <w:rFonts w:hint="eastAsia" w:asciiTheme="minorEastAsia" w:hAnsiTheme="minorEastAsia" w:eastAsiaTheme="minorEastAsia" w:cstheme="minorEastAsia"/>
                      <w:iCs/>
                      <w:color w:val="auto"/>
                      <w:sz w:val="18"/>
                      <w:szCs w:val="18"/>
                      <w:highlight w:val="none"/>
                      <w:lang w:bidi="ar"/>
                    </w:rPr>
                    <w:t>USH2A</w:t>
                  </w:r>
                </w:p>
              </w:tc>
              <w:tc>
                <w:tcPr>
                  <w:tcW w:w="7371" w:type="dxa"/>
                  <w:tcBorders>
                    <w:top w:val="single" w:color="000000" w:sz="4" w:space="0"/>
                    <w:left w:val="single" w:color="000000" w:sz="4" w:space="0"/>
                    <w:bottom w:val="single" w:color="000000" w:sz="4" w:space="0"/>
                    <w:right w:val="single" w:color="000000" w:sz="4" w:space="0"/>
                  </w:tcBorders>
                  <w:noWrap w:val="0"/>
                  <w:vAlign w:val="center"/>
                </w:tcPr>
                <w:p w14:paraId="58D4EEBD">
                  <w:pPr>
                    <w:keepNext w:val="0"/>
                    <w:keepLines w:val="0"/>
                    <w:widowControl/>
                    <w:suppressLineNumbers w:val="0"/>
                    <w:spacing w:before="0" w:beforeAutospacing="0" w:after="0" w:afterAutospacing="0"/>
                    <w:ind w:left="0" w:right="0" w:firstLine="0" w:firstLine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bidi="ar"/>
                    </w:rPr>
                    <w:t>Usher综合征IIA型[AR]</w:t>
                  </w:r>
                </w:p>
              </w:tc>
            </w:tr>
          </w:tbl>
          <w:p w14:paraId="31F58995">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Cs/>
                <w:color w:val="auto"/>
                <w:kern w:val="0"/>
                <w:sz w:val="24"/>
                <w:highlight w:val="none"/>
                <w:lang w:val="en-US" w:eastAsia="zh-CN"/>
              </w:rPr>
            </w:pPr>
          </w:p>
          <w:p w14:paraId="3157FD9A">
            <w:pPr>
              <w:pStyle w:val="23"/>
              <w:keepNext w:val="0"/>
              <w:keepLines w:val="0"/>
              <w:widowControl/>
              <w:suppressLineNumbers w:val="0"/>
              <w:adjustRightInd w:val="0"/>
              <w:snapToGrid w:val="0"/>
              <w:spacing w:before="0" w:beforeAutospacing="0" w:after="0" w:afterAutospacing="0" w:line="360" w:lineRule="auto"/>
              <w:ind w:left="0" w:right="0" w:firstLine="480"/>
              <w:jc w:val="left"/>
              <w:rPr>
                <w:rFonts w:hint="eastAsia" w:ascii="宋体" w:hAnsi="宋体"/>
                <w:b/>
                <w:bCs w:val="0"/>
                <w:color w:val="auto"/>
                <w:kern w:val="0"/>
                <w:sz w:val="24"/>
                <w:highlight w:val="none"/>
                <w:lang w:val="en-US" w:eastAsia="zh-CN"/>
              </w:rPr>
            </w:pPr>
            <w:r>
              <w:rPr>
                <w:rFonts w:hint="eastAsia" w:ascii="宋体" w:hAnsi="宋体"/>
                <w:b/>
                <w:bCs w:val="0"/>
                <w:color w:val="auto"/>
                <w:kern w:val="0"/>
                <w:sz w:val="24"/>
                <w:highlight w:val="none"/>
                <w:lang w:val="en-US" w:eastAsia="zh-CN"/>
              </w:rPr>
              <w:t>分标2：检验外送服务项目-检验项目</w:t>
            </w:r>
          </w:p>
          <w:p w14:paraId="5683A5A9">
            <w:pPr>
              <w:keepNext w:val="0"/>
              <w:keepLines w:val="0"/>
              <w:widowControl/>
              <w:suppressLineNumbers w:val="0"/>
              <w:spacing w:before="0" w:beforeAutospacing="0" w:after="0" w:afterAutospacing="0" w:line="440" w:lineRule="exact"/>
              <w:ind w:left="0" w:right="0"/>
              <w:jc w:val="left"/>
              <w:rPr>
                <w:rFonts w:hint="eastAsia" w:ascii="宋体" w:hAnsi="宋体"/>
                <w:bCs/>
                <w:color w:val="auto"/>
                <w:kern w:val="0"/>
                <w:sz w:val="24"/>
                <w:szCs w:val="20"/>
                <w:highlight w:val="none"/>
                <w:lang w:val="en-US" w:eastAsia="zh-CN"/>
              </w:rPr>
            </w:pPr>
            <w:r>
              <w:rPr>
                <w:rFonts w:hint="eastAsia" w:ascii="宋体" w:hAnsi="宋体"/>
                <w:b/>
                <w:bCs w:val="0"/>
                <w:color w:val="auto"/>
                <w:kern w:val="0"/>
                <w:sz w:val="24"/>
                <w:szCs w:val="20"/>
                <w:highlight w:val="none"/>
                <w:lang w:val="en-US" w:eastAsia="zh-CN"/>
              </w:rPr>
              <w:t>一、检测项目</w:t>
            </w:r>
            <w:r>
              <w:rPr>
                <w:rFonts w:hint="eastAsia" w:ascii="宋体" w:hAnsi="宋体"/>
                <w:bCs/>
                <w:color w:val="auto"/>
                <w:kern w:val="0"/>
                <w:sz w:val="24"/>
                <w:szCs w:val="20"/>
                <w:highlight w:val="none"/>
                <w:lang w:val="en-US" w:eastAsia="zh-CN"/>
              </w:rPr>
              <w:t>（</w:t>
            </w:r>
            <w:r>
              <w:rPr>
                <w:rFonts w:hint="eastAsia" w:ascii="宋体" w:hAnsi="宋体"/>
                <w:bCs/>
                <w:color w:val="auto"/>
                <w:kern w:val="0"/>
                <w:sz w:val="21"/>
                <w:szCs w:val="21"/>
                <w:highlight w:val="none"/>
                <w:lang w:val="en-US" w:eastAsia="zh-CN"/>
              </w:rPr>
              <w:t>下列所有</w:t>
            </w:r>
            <w:r>
              <w:rPr>
                <w:rFonts w:hint="eastAsia" w:hAnsi="宋体" w:cs="Times New Roman"/>
                <w:b w:val="0"/>
                <w:bCs w:val="0"/>
                <w:color w:val="auto"/>
                <w:kern w:val="0"/>
                <w:sz w:val="21"/>
                <w:szCs w:val="21"/>
                <w:highlight w:val="none"/>
                <w:lang w:val="en-US" w:eastAsia="zh-CN"/>
              </w:rPr>
              <w:t>检测项目为</w:t>
            </w:r>
            <w:r>
              <w:rPr>
                <w:rFonts w:hint="eastAsia" w:hAnsi="宋体" w:cs="Times New Roman"/>
                <w:b w:val="0"/>
                <w:bCs w:val="0"/>
                <w:color w:val="auto"/>
                <w:kern w:val="0"/>
                <w:sz w:val="21"/>
                <w:szCs w:val="21"/>
                <w:highlight w:val="none"/>
              </w:rPr>
              <w:t xml:space="preserve"> “必须报价目录”供应商报价如有缺项的，按竞标无效处理。</w:t>
            </w:r>
            <w:r>
              <w:rPr>
                <w:rFonts w:hint="eastAsia" w:ascii="宋体" w:hAnsi="宋体"/>
                <w:bCs/>
                <w:color w:val="auto"/>
                <w:kern w:val="0"/>
                <w:sz w:val="21"/>
                <w:szCs w:val="21"/>
                <w:highlight w:val="none"/>
                <w:lang w:val="en-US" w:eastAsia="zh-CN"/>
              </w:rPr>
              <w:t>报价按每例实际结算单价报，单位：元</w:t>
            </w:r>
            <w:r>
              <w:rPr>
                <w:rFonts w:hint="eastAsia" w:ascii="宋体" w:hAnsi="宋体"/>
                <w:bCs/>
                <w:color w:val="auto"/>
                <w:kern w:val="0"/>
                <w:sz w:val="21"/>
                <w:szCs w:val="21"/>
                <w:highlight w:val="none"/>
                <w:lang w:val="en-US" w:eastAsia="zh-CN"/>
              </w:rPr>
              <w:t>）</w:t>
            </w:r>
          </w:p>
          <w:tbl>
            <w:tblPr>
              <w:tblStyle w:val="15"/>
              <w:tblW w:w="9462"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344"/>
              <w:gridCol w:w="1663"/>
              <w:gridCol w:w="1018"/>
              <w:gridCol w:w="650"/>
              <w:gridCol w:w="712"/>
              <w:gridCol w:w="863"/>
              <w:gridCol w:w="862"/>
              <w:gridCol w:w="938"/>
              <w:gridCol w:w="712"/>
            </w:tblGrid>
            <w:tr w14:paraId="7A24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56591D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E4965D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检测项目</w:t>
                  </w:r>
                </w:p>
              </w:tc>
              <w:tc>
                <w:tcPr>
                  <w:tcW w:w="1663" w:type="dxa"/>
                  <w:tcBorders>
                    <w:top w:val="single" w:color="000000" w:sz="4" w:space="0"/>
                    <w:left w:val="single" w:color="000000" w:sz="4" w:space="0"/>
                    <w:bottom w:val="single" w:color="000000" w:sz="4" w:space="0"/>
                    <w:right w:val="single" w:color="000000" w:sz="4" w:space="0"/>
                  </w:tcBorders>
                  <w:noWrap/>
                  <w:vAlign w:val="center"/>
                </w:tcPr>
                <w:p w14:paraId="2298E2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报告项目</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0993F3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检测方法</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2FBC8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75B752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采购年限</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2D5196D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预估采购数量(例/年)</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7D64C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单价上限价（元）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C2A87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广西三级医院收费价（元）</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EF9CD29">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备注</w:t>
                  </w:r>
                </w:p>
              </w:tc>
            </w:tr>
            <w:tr w14:paraId="6F6D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868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BCD9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地中海贫血基因检测（三代测序）</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BE2C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使用单一技术至少满足可同时检测α和β地中海贫血大片段缺失突变、点突变、Indel、三联体四种突变类型以上</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FD9F54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16ADA5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FB82DA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EB1BC79">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965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D05F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AB76A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24C90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66F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704BF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6B988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先天性肾上腺皮质增生症基因检测（三代测序）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A1B55E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检测先天性肾上腺皮质增生症（CAH）的基因范围，包括检测涉及CAH的相关基因的SNP/Indel/CNV、拷贝数异常、假基因、基因重排等变异。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38D14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923E1A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D0D71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A3325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D64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C128F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A7290C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0AB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F65CA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B1E77E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脊髓性肌萎缩症（SMA）基因检测（三代测序）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1766E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检测覆盖SMN1/SMN2基因全长，涉及SMN1和SMN2基因的拷贝数、86种SMN1基因致病性微小变异，经过两代家系（不依赖于先证者）可分析2+0携带者。</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9712EA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2E342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1CFEBE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31982B03">
                  <w:pPr>
                    <w:keepNext w:val="0"/>
                    <w:keepLines w:val="0"/>
                    <w:widowControl/>
                    <w:suppressLineNumbers w:val="0"/>
                    <w:shd w:val="clear"/>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79B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590B24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128F3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4C7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9D33A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3DD4C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脆性X综合征基因检测（三代测序）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E8F904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脆性X综合征:检测FMR1基因5’UTR区域的CGG拷贝数区分正常、灰区、前突变和全突变，AGG插入的数量及位置，检测区域的大片段缺失型。</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2A4E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EC6852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719854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5C3F052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C28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A0EEE4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4A6F78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803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E3C02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7C3A2A1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多囊肾基因检测（三代测序）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0941C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多囊肾基因检测三代测序</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9322C0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D69B81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93BDF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4B9B55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515E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6CC205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D436B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66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A7F4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FEAB81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血友病F8/F9基因检测（三代测序）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16568A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血友病F8/F9基因检测三代测序（包含点突变和倒位）</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CFA34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C6F184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1B362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03D3DD6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F38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8CA586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C2390E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8E1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CC8DA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575EE70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动态突变基因检测（三代测序）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AE623D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常见由动态突变导致的疾病基因检测，包含共济失调、神经肌肉、癫痫等60余疾病和基因</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4DBEB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三代测序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48C9C6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例</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1FD54D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758613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F74B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2800</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FD67E1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4000</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5465AC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4294354E">
            <w:pPr>
              <w:keepNext w:val="0"/>
              <w:keepLines w:val="0"/>
              <w:widowControl/>
              <w:suppressLineNumbers w:val="0"/>
              <w:shd w:val="clear"/>
              <w:spacing w:before="0" w:beforeAutospacing="0" w:after="0" w:afterAutospacing="0" w:line="360" w:lineRule="auto"/>
              <w:ind w:left="0" w:right="0" w:firstLine="482" w:firstLineChars="200"/>
              <w:rPr>
                <w:rFonts w:hint="eastAsia" w:ascii="宋体" w:hAnsi="宋体" w:eastAsia="宋体"/>
                <w:bCs/>
                <w:color w:val="auto"/>
                <w:kern w:val="0"/>
                <w:sz w:val="21"/>
                <w:szCs w:val="21"/>
                <w:highlight w:val="none"/>
                <w:lang w:val="en-US" w:eastAsia="zh-CN"/>
              </w:rPr>
            </w:pPr>
            <w:r>
              <w:rPr>
                <w:rFonts w:hint="eastAsia" w:ascii="宋体" w:hAnsi="宋体"/>
                <w:b/>
                <w:bCs w:val="0"/>
                <w:color w:val="auto"/>
                <w:kern w:val="0"/>
                <w:sz w:val="24"/>
                <w:szCs w:val="20"/>
                <w:highlight w:val="none"/>
                <w:lang w:val="en-US" w:eastAsia="zh-CN"/>
              </w:rPr>
              <w:t>二、</w:t>
            </w:r>
            <w:r>
              <w:rPr>
                <w:rFonts w:hint="eastAsia" w:ascii="宋体" w:hAnsi="宋体"/>
                <w:b/>
                <w:bCs w:val="0"/>
                <w:color w:val="auto"/>
                <w:kern w:val="0"/>
                <w:sz w:val="24"/>
                <w:szCs w:val="20"/>
                <w:highlight w:val="none"/>
              </w:rPr>
              <w:t>检测样本类型</w:t>
            </w:r>
            <w:r>
              <w:rPr>
                <w:rFonts w:hint="eastAsia" w:ascii="宋体" w:hAnsi="宋体"/>
                <w:bCs/>
                <w:color w:val="auto"/>
                <w:kern w:val="0"/>
                <w:sz w:val="24"/>
                <w:szCs w:val="20"/>
                <w:highlight w:val="none"/>
              </w:rPr>
              <w:t>：</w:t>
            </w:r>
            <w:r>
              <w:rPr>
                <w:rFonts w:hint="eastAsia" w:ascii="宋体" w:hAnsi="宋体"/>
                <w:bCs/>
                <w:color w:val="auto"/>
                <w:kern w:val="0"/>
                <w:sz w:val="21"/>
                <w:szCs w:val="21"/>
                <w:highlight w:val="none"/>
                <w:lang w:eastAsia="zh-CN"/>
              </w:rPr>
              <w:t>血液、</w:t>
            </w:r>
            <w:r>
              <w:rPr>
                <w:rFonts w:hint="eastAsia" w:ascii="宋体" w:hAnsi="宋体"/>
                <w:bCs/>
                <w:color w:val="auto"/>
                <w:kern w:val="0"/>
                <w:sz w:val="21"/>
                <w:szCs w:val="21"/>
                <w:highlight w:val="none"/>
              </w:rPr>
              <w:t>尿液、</w:t>
            </w:r>
            <w:r>
              <w:rPr>
                <w:rFonts w:hint="eastAsia" w:ascii="宋体" w:hAnsi="宋体"/>
                <w:bCs/>
                <w:color w:val="auto"/>
                <w:kern w:val="0"/>
                <w:sz w:val="21"/>
                <w:szCs w:val="21"/>
                <w:highlight w:val="none"/>
                <w:lang w:eastAsia="zh-CN"/>
              </w:rPr>
              <w:t>脑脊液、</w:t>
            </w:r>
            <w:r>
              <w:rPr>
                <w:rFonts w:hint="eastAsia" w:ascii="宋体" w:hAnsi="宋体"/>
                <w:bCs/>
                <w:color w:val="auto"/>
                <w:kern w:val="0"/>
                <w:sz w:val="21"/>
                <w:szCs w:val="21"/>
                <w:highlight w:val="none"/>
                <w:lang w:val="en-US" w:eastAsia="zh-CN"/>
              </w:rPr>
              <w:t>羊水、脐血、绒毛、组织及其相关的DNA/RNA</w:t>
            </w:r>
            <w:r>
              <w:rPr>
                <w:rFonts w:hint="eastAsia" w:ascii="宋体" w:hAnsi="宋体"/>
                <w:bCs/>
                <w:color w:val="auto"/>
                <w:kern w:val="0"/>
                <w:sz w:val="21"/>
                <w:szCs w:val="21"/>
                <w:highlight w:val="none"/>
                <w:lang w:eastAsia="zh-CN"/>
              </w:rPr>
              <w:t>等标本类型</w:t>
            </w:r>
            <w:r>
              <w:rPr>
                <w:rFonts w:hint="eastAsia" w:ascii="宋体" w:hAnsi="宋体"/>
                <w:bCs/>
                <w:color w:val="auto"/>
                <w:kern w:val="0"/>
                <w:sz w:val="21"/>
                <w:szCs w:val="21"/>
                <w:highlight w:val="none"/>
                <w:lang w:eastAsia="zh-CN"/>
              </w:rPr>
              <w:t>。</w:t>
            </w:r>
          </w:p>
          <w:p w14:paraId="574A92A0">
            <w:pPr>
              <w:pStyle w:val="24"/>
              <w:keepNext w:val="0"/>
              <w:keepLines w:val="0"/>
              <w:widowControl/>
              <w:suppressLineNumbers w:val="0"/>
              <w:shd w:val="clear"/>
              <w:spacing w:before="0" w:beforeAutospacing="0" w:after="0" w:afterAutospacing="0" w:line="360" w:lineRule="auto"/>
              <w:ind w:left="0" w:right="0"/>
              <w:rPr>
                <w:rFonts w:hint="default" w:ascii="宋体" w:hAnsi="宋体"/>
                <w:b/>
                <w:bCs w:val="0"/>
                <w:color w:val="auto"/>
                <w:kern w:val="0"/>
                <w:sz w:val="24"/>
                <w:szCs w:val="24"/>
                <w:highlight w:val="none"/>
              </w:rPr>
            </w:pPr>
            <w:r>
              <w:rPr>
                <w:rFonts w:hint="eastAsia" w:ascii="宋体" w:hAnsi="宋体"/>
                <w:b/>
                <w:bCs w:val="0"/>
                <w:color w:val="auto"/>
                <w:kern w:val="0"/>
                <w:sz w:val="24"/>
                <w:szCs w:val="24"/>
                <w:highlight w:val="none"/>
                <w:lang w:val="en-US" w:eastAsia="zh-CN"/>
              </w:rPr>
              <w:t>三、</w:t>
            </w:r>
            <w:r>
              <w:rPr>
                <w:rFonts w:hint="eastAsia" w:ascii="宋体" w:hAnsi="宋体"/>
                <w:b/>
                <w:bCs w:val="0"/>
                <w:color w:val="auto"/>
                <w:kern w:val="0"/>
                <w:sz w:val="24"/>
                <w:szCs w:val="24"/>
                <w:highlight w:val="none"/>
              </w:rPr>
              <w:t>检测</w:t>
            </w:r>
            <w:r>
              <w:rPr>
                <w:rFonts w:hint="default" w:ascii="宋体" w:hAnsi="宋体"/>
                <w:b/>
                <w:bCs w:val="0"/>
                <w:color w:val="auto"/>
                <w:kern w:val="0"/>
                <w:sz w:val="24"/>
                <w:szCs w:val="24"/>
                <w:highlight w:val="none"/>
              </w:rPr>
              <w:t>要求：</w:t>
            </w:r>
          </w:p>
          <w:p w14:paraId="774DC794">
            <w:pPr>
              <w:keepNext w:val="0"/>
              <w:keepLines w:val="0"/>
              <w:widowControl/>
              <w:numPr>
                <w:ilvl w:val="0"/>
                <w:numId w:val="3"/>
              </w:numPr>
              <w:suppressLineNumbers w:val="0"/>
              <w:shd w:val="clear"/>
              <w:spacing w:before="0" w:beforeAutospacing="0" w:after="0" w:afterAutospacing="0" w:line="360" w:lineRule="auto"/>
              <w:ind w:left="425" w:leftChars="0" w:right="0" w:hanging="425" w:firstLineChars="0"/>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rPr>
              <w:t>标本收集、样本检测、临床报告拟定、售后技术咨询服务等。质量控制包括全流程监控样本的唯一性、室内质控、室间质评、冷链流程监控、物流人员培训等，</w:t>
            </w:r>
            <w:r>
              <w:rPr>
                <w:rFonts w:hint="eastAsia" w:ascii="宋体" w:hAnsi="宋体" w:eastAsia="宋体" w:cs="宋体"/>
                <w:i w:val="0"/>
                <w:iCs w:val="0"/>
                <w:caps w:val="0"/>
                <w:color w:val="auto"/>
                <w:spacing w:val="0"/>
                <w:sz w:val="21"/>
                <w:szCs w:val="21"/>
                <w:highlight w:val="none"/>
                <w:shd w:val="clear" w:color="auto" w:fill="FFFFFF"/>
                <w:lang w:val="en-US" w:eastAsia="zh-CN"/>
              </w:rPr>
              <w:t>如检测过程出现问题需要及时跟采购人联系沟通</w:t>
            </w:r>
            <w:r>
              <w:rPr>
                <w:rFonts w:hint="eastAsia" w:ascii="宋体" w:hAnsi="宋体" w:eastAsia="宋体" w:cs="宋体"/>
                <w:i w:val="0"/>
                <w:iCs w:val="0"/>
                <w:caps w:val="0"/>
                <w:color w:val="auto"/>
                <w:spacing w:val="0"/>
                <w:sz w:val="21"/>
                <w:szCs w:val="21"/>
                <w:highlight w:val="none"/>
                <w:shd w:val="clear" w:color="auto" w:fill="FFFFFF"/>
              </w:rPr>
              <w:t>。</w:t>
            </w:r>
          </w:p>
          <w:p w14:paraId="68E7F271">
            <w:pPr>
              <w:keepNext w:val="0"/>
              <w:keepLines w:val="0"/>
              <w:widowControl/>
              <w:numPr>
                <w:ilvl w:val="0"/>
                <w:numId w:val="3"/>
              </w:numPr>
              <w:suppressLineNumbers w:val="0"/>
              <w:shd w:val="clear"/>
              <w:spacing w:before="0" w:beforeAutospacing="0" w:after="0" w:afterAutospacing="0" w:line="360" w:lineRule="auto"/>
              <w:ind w:left="425" w:leftChars="0" w:right="0" w:hanging="425" w:firstLineChars="0"/>
              <w:rPr>
                <w:rFonts w:hint="eastAsia" w:ascii="宋体" w:hAnsi="宋体"/>
                <w:bCs/>
                <w:color w:val="auto"/>
                <w:kern w:val="0"/>
                <w:sz w:val="21"/>
                <w:szCs w:val="21"/>
                <w:highlight w:val="none"/>
              </w:rPr>
            </w:pPr>
            <w:r>
              <w:rPr>
                <w:rFonts w:hint="eastAsia" w:ascii="宋体" w:hAnsi="宋体" w:eastAsia="宋体" w:cs="宋体"/>
                <w:color w:val="auto"/>
                <w:sz w:val="21"/>
                <w:szCs w:val="21"/>
                <w:highlight w:val="none"/>
              </w:rPr>
              <w:t>检测报告出具时间不超过</w:t>
            </w:r>
            <w:r>
              <w:rPr>
                <w:rFonts w:hint="eastAsia" w:ascii="宋体" w:hAnsi="宋体" w:cs="宋体"/>
                <w:color w:val="auto"/>
                <w:sz w:val="21"/>
                <w:szCs w:val="21"/>
                <w:highlight w:val="none"/>
                <w:lang w:val="en-US" w:eastAsia="zh-CN"/>
              </w:rPr>
              <w:t>10天，</w:t>
            </w:r>
            <w:r>
              <w:rPr>
                <w:rFonts w:hint="eastAsia" w:ascii="宋体" w:hAnsi="宋体"/>
                <w:bCs/>
                <w:color w:val="auto"/>
                <w:kern w:val="0"/>
                <w:sz w:val="21"/>
                <w:szCs w:val="21"/>
                <w:highlight w:val="none"/>
                <w:lang w:val="en-US" w:eastAsia="zh-CN"/>
              </w:rPr>
              <w:t>特殊要求服务时供应商应配合进行报告加急发放</w:t>
            </w:r>
            <w:r>
              <w:rPr>
                <w:rFonts w:hint="eastAsia" w:ascii="宋体" w:hAnsi="宋体"/>
                <w:bCs/>
                <w:color w:val="auto"/>
                <w:kern w:val="0"/>
                <w:sz w:val="21"/>
                <w:szCs w:val="21"/>
                <w:highlight w:val="none"/>
              </w:rPr>
              <w:t>。</w:t>
            </w:r>
          </w:p>
          <w:p w14:paraId="7ED95B8D">
            <w:pPr>
              <w:pStyle w:val="11"/>
              <w:keepNext w:val="0"/>
              <w:keepLines w:val="0"/>
              <w:widowControl/>
              <w:numPr>
                <w:ilvl w:val="0"/>
                <w:numId w:val="3"/>
              </w:numPr>
              <w:suppressLineNumbers w:val="0"/>
              <w:shd w:val="clear"/>
              <w:adjustRightInd w:val="0"/>
              <w:snapToGrid w:val="0"/>
              <w:spacing w:before="0" w:beforeAutospacing="0" w:after="0" w:afterAutospacing="0" w:line="360" w:lineRule="auto"/>
              <w:ind w:left="425" w:leftChars="0" w:right="0" w:rightChars="0" w:hanging="425"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技术平台要求：第三代高通量测序技术平台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并提供检测方法所需的技术平台说明书（内容包括但不限于平台性能及技术参数），并加盖供应商电子公章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否则视为不满足</w:t>
            </w:r>
            <w:r>
              <w:rPr>
                <w:rFonts w:hint="eastAsia" w:ascii="宋体" w:hAnsi="宋体" w:eastAsia="宋体" w:cs="宋体"/>
                <w:color w:val="auto"/>
                <w:sz w:val="21"/>
                <w:szCs w:val="21"/>
                <w:highlight w:val="none"/>
                <w:lang w:eastAsia="zh-CN"/>
              </w:rPr>
              <w:t>。</w:t>
            </w:r>
          </w:p>
          <w:p w14:paraId="28EF83AB">
            <w:pPr>
              <w:pStyle w:val="11"/>
              <w:keepNext w:val="0"/>
              <w:keepLines w:val="0"/>
              <w:widowControl/>
              <w:numPr>
                <w:ilvl w:val="0"/>
                <w:numId w:val="3"/>
              </w:numPr>
              <w:suppressLineNumbers w:val="0"/>
              <w:shd w:val="clear"/>
              <w:adjustRightInd w:val="0"/>
              <w:snapToGrid w:val="0"/>
              <w:spacing w:before="0" w:beforeAutospacing="0" w:after="0" w:afterAutospacing="0" w:line="360" w:lineRule="auto"/>
              <w:ind w:left="425" w:leftChars="0" w:right="0" w:hanging="425" w:firstLineChars="0"/>
              <w:jc w:val="left"/>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ascii="宋体" w:hAnsi="宋体" w:eastAsia="宋体" w:cs="宋体"/>
                <w:i w:val="0"/>
                <w:iCs w:val="0"/>
                <w:caps w:val="0"/>
                <w:color w:val="auto"/>
                <w:spacing w:val="0"/>
                <w:sz w:val="21"/>
                <w:szCs w:val="21"/>
                <w:highlight w:val="none"/>
                <w:shd w:val="clear" w:color="auto" w:fill="FFFFFF"/>
              </w:rPr>
              <w:t>服务人员：供应商需提供检测项目的实验室咨询服务</w:t>
            </w:r>
            <w:r>
              <w:rPr>
                <w:rFonts w:hint="eastAsia" w:ascii="宋体" w:hAnsi="宋体" w:eastAsia="宋体" w:cs="宋体"/>
                <w:i w:val="0"/>
                <w:iCs w:val="0"/>
                <w:caps w:val="0"/>
                <w:color w:val="auto"/>
                <w:spacing w:val="0"/>
                <w:sz w:val="21"/>
                <w:szCs w:val="21"/>
                <w:highlight w:val="none"/>
                <w:shd w:val="clear" w:color="auto" w:fill="FFFFFF"/>
                <w:lang w:eastAsia="zh-CN"/>
              </w:rPr>
              <w:t>。</w:t>
            </w:r>
          </w:p>
          <w:p w14:paraId="65FACE4F">
            <w:pPr>
              <w:pStyle w:val="11"/>
              <w:keepNext w:val="0"/>
              <w:keepLines w:val="0"/>
              <w:widowControl/>
              <w:numPr>
                <w:ilvl w:val="0"/>
                <w:numId w:val="3"/>
              </w:numPr>
              <w:suppressLineNumbers w:val="0"/>
              <w:shd w:val="clear"/>
              <w:adjustRightInd w:val="0"/>
              <w:snapToGrid w:val="0"/>
              <w:spacing w:before="0" w:beforeAutospacing="0" w:after="0" w:afterAutospacing="0" w:line="360" w:lineRule="auto"/>
              <w:ind w:left="425" w:leftChars="0" w:right="0" w:hanging="425"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项目的检测范围涵括：</w:t>
            </w:r>
            <w:r>
              <w:rPr>
                <w:rFonts w:hint="eastAsia" w:ascii="宋体" w:hAnsi="宋体" w:eastAsia="宋体" w:cs="宋体"/>
                <w:color w:val="auto"/>
                <w:kern w:val="2"/>
                <w:sz w:val="21"/>
                <w:szCs w:val="21"/>
                <w:highlight w:val="none"/>
                <w:lang w:val="en-US" w:eastAsia="zh-CN" w:bidi="ar"/>
              </w:rPr>
              <w:t>地中海贫血：</w:t>
            </w:r>
            <w:r>
              <w:rPr>
                <w:rFonts w:hint="eastAsia" w:ascii="宋体" w:hAnsi="宋体" w:cs="宋体"/>
                <w:color w:val="auto"/>
                <w:kern w:val="2"/>
                <w:sz w:val="21"/>
                <w:szCs w:val="21"/>
                <w:highlight w:val="none"/>
                <w:lang w:val="en-US" w:eastAsia="zh-CN" w:bidi="ar"/>
              </w:rPr>
              <w:t>至少</w:t>
            </w:r>
            <w:r>
              <w:rPr>
                <w:rFonts w:hint="eastAsia" w:ascii="宋体" w:hAnsi="宋体" w:eastAsia="宋体" w:cs="宋体"/>
                <w:color w:val="auto"/>
                <w:kern w:val="2"/>
                <w:sz w:val="21"/>
                <w:szCs w:val="21"/>
                <w:highlight w:val="none"/>
                <w:lang w:val="en-US" w:eastAsia="zh-CN" w:bidi="ar"/>
              </w:rPr>
              <w:t>满足国家地贫指南规定23个突变类型以上，使用单一技术至少满足可同时检测α和β地中海贫血大片段缺失突变、点突变、Indel、三联体四种突变类型以上</w:t>
            </w:r>
            <w:r>
              <w:rPr>
                <w:rFonts w:hint="eastAsia" w:ascii="宋体" w:hAnsi="宋体" w:cs="宋体"/>
                <w:color w:val="auto"/>
                <w:kern w:val="2"/>
                <w:sz w:val="21"/>
                <w:szCs w:val="21"/>
                <w:highlight w:val="none"/>
                <w:lang w:val="en-US" w:eastAsia="zh-CN" w:bidi="ar"/>
              </w:rPr>
              <w:t>；</w:t>
            </w:r>
            <w:r>
              <w:rPr>
                <w:rFonts w:hint="eastAsia" w:ascii="宋体" w:hAnsi="宋体" w:eastAsia="宋体"/>
                <w:color w:val="auto"/>
                <w:sz w:val="21"/>
                <w:szCs w:val="21"/>
                <w:highlight w:val="none"/>
              </w:rPr>
              <w:t>先天性肾上腺皮质增生症：</w:t>
            </w:r>
            <w:r>
              <w:rPr>
                <w:rFonts w:hint="eastAsia" w:ascii="宋体" w:hAnsi="宋体"/>
                <w:color w:val="auto"/>
                <w:sz w:val="21"/>
                <w:szCs w:val="21"/>
                <w:highlight w:val="none"/>
                <w:lang w:val="en-US" w:eastAsia="zh-CN"/>
              </w:rPr>
              <w:t>可</w:t>
            </w:r>
            <w:r>
              <w:rPr>
                <w:rFonts w:hint="eastAsia" w:ascii="宋体" w:hAnsi="宋体" w:eastAsia="宋体"/>
                <w:color w:val="auto"/>
                <w:sz w:val="21"/>
                <w:szCs w:val="21"/>
                <w:highlight w:val="none"/>
              </w:rPr>
              <w:t>同时检测CYP21A2、CYP11B1、CYP17A1、HSD3B2、STAR、CYP11A1、POR等7个基因，</w:t>
            </w:r>
            <w:r>
              <w:rPr>
                <w:rFonts w:hint="eastAsia" w:ascii="宋体" w:hAnsi="宋体"/>
                <w:color w:val="auto"/>
                <w:sz w:val="21"/>
                <w:szCs w:val="21"/>
                <w:highlight w:val="none"/>
                <w:lang w:val="en-US" w:eastAsia="zh-CN"/>
              </w:rPr>
              <w:t>可</w:t>
            </w:r>
            <w:r>
              <w:rPr>
                <w:rFonts w:hint="eastAsia" w:ascii="宋体" w:hAnsi="宋体" w:eastAsia="宋体"/>
                <w:color w:val="auto"/>
                <w:sz w:val="21"/>
                <w:szCs w:val="21"/>
                <w:highlight w:val="none"/>
              </w:rPr>
              <w:t>区分真假基因、精准判断缺失分型、重组变异及基因内的插入、缺失、突变等变异</w:t>
            </w:r>
            <w:r>
              <w:rPr>
                <w:rFonts w:hint="eastAsia" w:ascii="宋体" w:hAnsi="宋体"/>
                <w:color w:val="auto"/>
                <w:sz w:val="21"/>
                <w:szCs w:val="21"/>
                <w:highlight w:val="none"/>
                <w:lang w:eastAsia="zh-CN"/>
              </w:rPr>
              <w:t>；</w:t>
            </w:r>
            <w:r>
              <w:rPr>
                <w:rFonts w:hint="eastAsia" w:ascii="宋体" w:hAnsi="宋体" w:eastAsia="宋体" w:cs="宋体"/>
                <w:bCs/>
                <w:color w:val="auto"/>
                <w:kern w:val="0"/>
                <w:sz w:val="21"/>
                <w:szCs w:val="21"/>
                <w:highlight w:val="none"/>
              </w:rPr>
              <w:t>脊髓性肌萎缩症：检测覆盖SMN1/SMN2基因全长，涉及SMN1和SMN2基因的拷贝数、86种SMN1基因致病性微小变异，经过两代家系（不依赖于先证者）可分析2+0携带者</w:t>
            </w:r>
            <w:r>
              <w:rPr>
                <w:rFonts w:hint="eastAsia" w:ascii="宋体" w:hAnsi="宋体" w:cs="宋体"/>
                <w:bCs/>
                <w:color w:val="auto"/>
                <w:kern w:val="0"/>
                <w:sz w:val="21"/>
                <w:szCs w:val="21"/>
                <w:highlight w:val="none"/>
                <w:lang w:eastAsia="zh-CN"/>
              </w:rPr>
              <w:t>；</w:t>
            </w:r>
            <w:r>
              <w:rPr>
                <w:rFonts w:hint="eastAsia" w:ascii="宋体" w:hAnsi="宋体" w:eastAsia="宋体"/>
                <w:color w:val="auto"/>
                <w:sz w:val="21"/>
                <w:szCs w:val="21"/>
                <w:highlight w:val="none"/>
              </w:rPr>
              <w:t>脆性X综合征：检测FMR1基因5’UTR区域的CGG拷贝数区分正常、灰区、前突变和全突变，AGG插入的数量及位置，检测区域Exon1内的各类变异</w:t>
            </w:r>
            <w:r>
              <w:rPr>
                <w:rFonts w:hint="eastAsia" w:ascii="宋体" w:hAnsi="宋体"/>
                <w:color w:val="auto"/>
                <w:sz w:val="21"/>
                <w:szCs w:val="21"/>
                <w:highlight w:val="none"/>
                <w:lang w:eastAsia="zh-CN"/>
              </w:rPr>
              <w:t>。</w:t>
            </w:r>
          </w:p>
          <w:p w14:paraId="5A1303E3">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6.遇到不合格标本应及时联系采购人实验室，以便确认是重新采集标本还是取消医嘱不做。由于样本溶血，或者DNA含量不够等情况，重采费用由</w:t>
            </w:r>
            <w:r>
              <w:rPr>
                <w:rFonts w:hint="eastAsia" w:ascii="宋体" w:hAnsi="宋体" w:eastAsia="宋体" w:cs="Times New Roman"/>
                <w:color w:val="auto"/>
                <w:kern w:val="0"/>
                <w:sz w:val="21"/>
                <w:szCs w:val="20"/>
                <w:highlight w:val="none"/>
                <w:lang w:val="en-US" w:eastAsia="zh-CN"/>
              </w:rPr>
              <w:t>中标</w:t>
            </w:r>
            <w:r>
              <w:rPr>
                <w:rFonts w:hint="eastAsia" w:ascii="宋体" w:hAnsi="宋体" w:eastAsia="宋体" w:cs="Times New Roman"/>
                <w:color w:val="auto"/>
                <w:kern w:val="0"/>
                <w:sz w:val="21"/>
                <w:szCs w:val="20"/>
                <w:highlight w:val="none"/>
              </w:rPr>
              <w:t>供</w:t>
            </w:r>
            <w:r>
              <w:rPr>
                <w:rFonts w:hint="eastAsia" w:hAnsi="宋体"/>
                <w:color w:val="auto"/>
                <w:kern w:val="0"/>
                <w:sz w:val="21"/>
                <w:szCs w:val="20"/>
                <w:highlight w:val="none"/>
              </w:rPr>
              <w:t>应商承担；由于特殊原因停止检测的，双方协调予以退费。</w:t>
            </w:r>
          </w:p>
          <w:p w14:paraId="62A57CFE">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7.根据采购人需求，满足部分的个性化分析要求。核酸提取、根据检测项目建库、高通量测序服务、初级分析、高级分析、个性化分析服务、测序质量分析、遗传分析变异筛选、临床报告解读、临床报告拟定、售后技术咨询服务、每年定期的重分析等。</w:t>
            </w:r>
          </w:p>
          <w:p w14:paraId="40E0083C">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8.售后查询及响应时间：</w:t>
            </w:r>
            <w:r>
              <w:rPr>
                <w:rFonts w:hint="eastAsia" w:ascii="宋体" w:hAnsi="宋体" w:eastAsia="宋体" w:cs="Times New Roman"/>
                <w:color w:val="auto"/>
                <w:kern w:val="0"/>
                <w:sz w:val="21"/>
                <w:szCs w:val="20"/>
                <w:highlight w:val="none"/>
                <w:lang w:val="en-US" w:eastAsia="zh-CN"/>
              </w:rPr>
              <w:t>中标</w:t>
            </w:r>
            <w:r>
              <w:rPr>
                <w:rFonts w:hint="eastAsia" w:ascii="宋体" w:hAnsi="宋体" w:eastAsia="宋体" w:cs="Times New Roman"/>
                <w:color w:val="auto"/>
                <w:kern w:val="0"/>
                <w:sz w:val="21"/>
                <w:szCs w:val="20"/>
                <w:highlight w:val="none"/>
              </w:rPr>
              <w:t>供</w:t>
            </w:r>
            <w:r>
              <w:rPr>
                <w:rFonts w:hint="eastAsia" w:hAnsi="宋体"/>
                <w:color w:val="auto"/>
                <w:kern w:val="0"/>
                <w:sz w:val="21"/>
                <w:szCs w:val="20"/>
                <w:highlight w:val="none"/>
              </w:rPr>
              <w:t>应商售后咨询组人员将提供查询服务，包括检测进度查询、检测结果查询、检测报告邮寄查询、保险进度查询等，及时处理和反馈客户问题。服务期内提供7*24小时电话支持，电话工作时间实时响应。</w:t>
            </w:r>
          </w:p>
          <w:p w14:paraId="5046C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服务要求</w:t>
            </w:r>
          </w:p>
          <w:p w14:paraId="3E50520A">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1.供应商需严格遵守国家和采购人相关规定，秉着</w:t>
            </w:r>
            <w:r>
              <w:rPr>
                <w:rFonts w:hint="eastAsia" w:hAnsi="宋体" w:cs="宋体"/>
                <w:color w:val="auto"/>
                <w:kern w:val="0"/>
                <w:sz w:val="21"/>
                <w:szCs w:val="20"/>
                <w:highlight w:val="none"/>
                <w:lang w:bidi="ar"/>
              </w:rPr>
              <w:t>诚实守信合法合规的原则</w:t>
            </w:r>
            <w:r>
              <w:rPr>
                <w:rFonts w:hint="eastAsia" w:hAnsi="宋体"/>
                <w:color w:val="auto"/>
                <w:kern w:val="0"/>
                <w:sz w:val="21"/>
                <w:szCs w:val="20"/>
                <w:highlight w:val="none"/>
              </w:rPr>
              <w:t>做好高通量测序服务工作。</w:t>
            </w:r>
          </w:p>
          <w:p w14:paraId="3F0D0DC2">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2.供应商在收到采购人提供的样本 DNA 质检合格后，报告应在规定时效内完成，结果报告的电子版连同纸质版一同发送给采购人。</w:t>
            </w:r>
          </w:p>
          <w:p w14:paraId="6BA33A4C">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3.服务期间，供应商不得随意更换测序试剂或测序服务平台，如遇特殊情况确 需更换的，应取得采购人的书面同意，由此产生的相关费用（如试剂盒试剂成本提升）等由供应商承担。供应商须提供测序试剂及测序服务平台相关资质材料备案。</w:t>
            </w:r>
          </w:p>
          <w:p w14:paraId="495CC276">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4.供应商需慎重对待采购人患者的样本，并有多病种、多系统罕见病分析服务经验。</w:t>
            </w:r>
          </w:p>
          <w:p w14:paraId="42DD2F57">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5.采购人可随时向供应商询问检测进度事宜。供应商指定项目专项负责人，为双方工作联系人。</w:t>
            </w:r>
          </w:p>
          <w:p w14:paraId="0B8CA98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6.供应商应为采购人提供专业、优质的测序服务，不得拖延或推迟采购人送达的测序分析工作。</w:t>
            </w:r>
          </w:p>
          <w:p w14:paraId="1FA2B2B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7.供应商在完成测序之后，应协助采购人对数据进行准确的高级分析、个性化分析。</w:t>
            </w:r>
          </w:p>
          <w:p w14:paraId="4EA4FF91">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8.供应商提供基因数据分析系统，为本单位开通账号，可以自主查看报告进度，同时也可以进行相关基因数据分析，并对分析提供培训和指导。</w:t>
            </w:r>
          </w:p>
          <w:p w14:paraId="2A9344B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9.</w:t>
            </w:r>
            <w:r>
              <w:rPr>
                <w:rFonts w:hint="eastAsia" w:hAnsi="宋体"/>
                <w:color w:val="auto"/>
                <w:kern w:val="0"/>
                <w:sz w:val="21"/>
                <w:szCs w:val="20"/>
                <w:highlight w:val="none"/>
                <w:lang w:val="en-US" w:eastAsia="zh-CN"/>
              </w:rPr>
              <w:t>服务机构</w:t>
            </w:r>
            <w:r>
              <w:rPr>
                <w:rFonts w:hint="eastAsia" w:hAnsi="宋体"/>
                <w:color w:val="auto"/>
                <w:kern w:val="0"/>
                <w:sz w:val="21"/>
                <w:szCs w:val="20"/>
                <w:highlight w:val="none"/>
              </w:rPr>
              <w:t>可根据采购人需求提供队列研究，对于特殊样本提供深度科研服务。</w:t>
            </w:r>
          </w:p>
          <w:p w14:paraId="700C97F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10.供应商需要检测流程规范、检测质量可靠，如果因为报告不准确而影响采购人最终诊断的，由供应商承担相应经济和法律后果。</w:t>
            </w:r>
          </w:p>
          <w:p w14:paraId="4C13052F">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11.供应商需提供检测机构的质控管理证明材料，具体内容包括但不限于：检测人员资质、室内质控记录、有室间质评的提供室间质评的成绩或合格证书，无室间质评的可提供实验室间比对记录及比对结论、设备校准、关键试剂耗材的使用记录（含新批号试剂质检记录）等。</w:t>
            </w:r>
          </w:p>
          <w:p w14:paraId="3F8DB908">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12.供应商对采购人提供的技术资料负有保密责任。</w:t>
            </w:r>
          </w:p>
          <w:p w14:paraId="0DDDC629">
            <w:pPr>
              <w:keepNext w:val="0"/>
              <w:keepLines w:val="0"/>
              <w:widowControl/>
              <w:suppressLineNumbers w:val="0"/>
              <w:spacing w:before="0" w:beforeAutospacing="0" w:after="0" w:afterAutospacing="0" w:line="360" w:lineRule="auto"/>
              <w:ind w:left="0" w:right="0" w:firstLine="420" w:firstLineChars="200"/>
              <w:jc w:val="both"/>
              <w:rPr>
                <w:rFonts w:hint="default" w:hAnsi="宋体"/>
                <w:color w:val="auto"/>
                <w:kern w:val="0"/>
                <w:sz w:val="21"/>
                <w:szCs w:val="20"/>
                <w:highlight w:val="none"/>
              </w:rPr>
            </w:pPr>
            <w:r>
              <w:rPr>
                <w:rFonts w:hint="eastAsia" w:hAnsi="宋体"/>
                <w:color w:val="auto"/>
                <w:kern w:val="0"/>
                <w:sz w:val="21"/>
                <w:szCs w:val="20"/>
                <w:highlight w:val="none"/>
              </w:rPr>
              <w:t>13.供应商保证2小时内响应，可按照采购人要求的时间提供检测项目咨询、收样、患者临床信息收集等服务以及后期对接（线上或线下方式）。</w:t>
            </w:r>
          </w:p>
          <w:p w14:paraId="13D7A226">
            <w:pPr>
              <w:keepNext w:val="0"/>
              <w:keepLines w:val="0"/>
              <w:widowControl/>
              <w:suppressLineNumbers w:val="0"/>
              <w:spacing w:before="0" w:beforeAutospacing="0" w:after="0" w:afterAutospacing="0" w:line="360" w:lineRule="auto"/>
              <w:ind w:left="0" w:right="0" w:firstLine="420" w:firstLineChars="200"/>
              <w:rPr>
                <w:rFonts w:hint="eastAsia" w:eastAsia="宋体"/>
                <w:color w:val="auto"/>
                <w:szCs w:val="20"/>
                <w:highlight w:val="none"/>
                <w:lang w:eastAsia="zh-CN"/>
              </w:rPr>
            </w:pPr>
            <w:r>
              <w:rPr>
                <w:rFonts w:hint="eastAsia" w:hAnsi="宋体"/>
                <w:color w:val="auto"/>
                <w:kern w:val="0"/>
                <w:sz w:val="21"/>
                <w:szCs w:val="20"/>
                <w:highlight w:val="none"/>
                <w:lang w:val="en-US" w:eastAsia="zh-CN"/>
              </w:rPr>
              <w:t>14.</w:t>
            </w:r>
            <w:r>
              <w:rPr>
                <w:rFonts w:hint="eastAsia" w:hAnsi="宋体"/>
                <w:color w:val="auto"/>
                <w:kern w:val="0"/>
                <w:sz w:val="21"/>
                <w:szCs w:val="20"/>
                <w:highlight w:val="none"/>
              </w:rPr>
              <w:t>供应商在履行合同期间，应遵守《中华人民共和国生物安全法》</w:t>
            </w:r>
            <w:r>
              <w:rPr>
                <w:rFonts w:hint="eastAsia" w:hAnsi="宋体"/>
                <w:color w:val="auto"/>
                <w:kern w:val="0"/>
                <w:sz w:val="21"/>
                <w:szCs w:val="20"/>
                <w:highlight w:val="none"/>
                <w:lang w:eastAsia="zh-CN"/>
              </w:rPr>
              <w:t>、</w:t>
            </w:r>
            <w:r>
              <w:rPr>
                <w:rFonts w:hint="eastAsia" w:hAnsi="宋体"/>
                <w:color w:val="auto"/>
                <w:kern w:val="0"/>
                <w:sz w:val="21"/>
                <w:szCs w:val="20"/>
                <w:highlight w:val="none"/>
              </w:rPr>
              <w:t>《中华人民共和国人类遗传资源管理条例》及相关的法律法规。供应商对检测标本的使用，仅限于</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委托的检测项目内容，供应商不得自行增加检测项目内容（除</w:t>
            </w:r>
            <w:r>
              <w:rPr>
                <w:rFonts w:hint="eastAsia" w:ascii="宋体" w:hAnsi="宋体" w:eastAsia="宋体" w:cs="宋体"/>
                <w:color w:val="auto"/>
                <w:kern w:val="0"/>
                <w:sz w:val="21"/>
                <w:szCs w:val="20"/>
                <w:highlight w:val="none"/>
                <w:lang w:bidi="ar"/>
              </w:rPr>
              <w:t>采购人</w:t>
            </w:r>
            <w:r>
              <w:rPr>
                <w:rFonts w:hint="eastAsia" w:hAnsi="宋体"/>
                <w:color w:val="auto"/>
                <w:kern w:val="0"/>
                <w:sz w:val="21"/>
                <w:szCs w:val="20"/>
                <w:highlight w:val="none"/>
              </w:rPr>
              <w:t>及授权代理人要求增加的检测项目以外）。剩余标本由供应商依据国家《医疗废物管理条例》及相关法律法规、规定处置，或者将检测剩余样本返还</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；未经</w:t>
            </w:r>
            <w:r>
              <w:rPr>
                <w:rFonts w:hint="eastAsia" w:hAnsi="宋体"/>
                <w:color w:val="auto"/>
                <w:kern w:val="0"/>
                <w:sz w:val="21"/>
                <w:szCs w:val="20"/>
                <w:highlight w:val="none"/>
                <w:lang w:val="en-US" w:eastAsia="zh-CN"/>
              </w:rPr>
              <w:t>采购人</w:t>
            </w:r>
            <w:r>
              <w:rPr>
                <w:rFonts w:hint="eastAsia" w:hAnsi="宋体"/>
                <w:color w:val="auto"/>
                <w:kern w:val="0"/>
                <w:sz w:val="21"/>
                <w:szCs w:val="20"/>
                <w:highlight w:val="none"/>
              </w:rPr>
              <w:t>授权，样本检测结果、信息及检测剩余样本不得出境，不得用于任何科研、发表刊物、教学等其他用途。</w:t>
            </w:r>
          </w:p>
        </w:tc>
      </w:tr>
      <w:bookmarkEnd w:id="0"/>
    </w:tbl>
    <w:p w14:paraId="4782225F">
      <w:pPr>
        <w:rPr>
          <w:rFonts w:hint="eastAsia" w:ascii="宋体" w:hAnsi="宋体" w:eastAsia="宋体" w:cs="宋体"/>
          <w:b w:val="0"/>
          <w:bCs/>
          <w:color w:val="auto"/>
          <w:sz w:val="28"/>
          <w:szCs w:val="28"/>
          <w:lang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81590C-FDEA-4555-A23F-E2442DFD85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E875851-4E2E-4C62-B57F-D54D8435A3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24E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B04C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AB04C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B817C"/>
    <w:multiLevelType w:val="singleLevel"/>
    <w:tmpl w:val="832B817C"/>
    <w:lvl w:ilvl="0" w:tentative="0">
      <w:start w:val="1"/>
      <w:numFmt w:val="decimal"/>
      <w:lvlText w:val="%1."/>
      <w:lvlJc w:val="left"/>
      <w:pPr>
        <w:ind w:left="425" w:hanging="425"/>
      </w:pPr>
      <w:rPr>
        <w:rFonts w:hint="default"/>
      </w:rPr>
    </w:lvl>
  </w:abstractNum>
  <w:abstractNum w:abstractNumId="1">
    <w:nsid w:val="428BA5CE"/>
    <w:multiLevelType w:val="singleLevel"/>
    <w:tmpl w:val="428BA5CE"/>
    <w:lvl w:ilvl="0" w:tentative="0">
      <w:start w:val="1"/>
      <w:numFmt w:val="decimal"/>
      <w:lvlText w:val="%1."/>
      <w:lvlJc w:val="left"/>
      <w:pPr>
        <w:ind w:left="425" w:hanging="425"/>
      </w:pPr>
      <w:rPr>
        <w:rFonts w:hint="default"/>
      </w:rPr>
    </w:lvl>
  </w:abstractNum>
  <w:abstractNum w:abstractNumId="2">
    <w:nsid w:val="5A0F1044"/>
    <w:multiLevelType w:val="singleLevel"/>
    <w:tmpl w:val="5A0F104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GQ2ODkxNDlmZDYxYWQyM2IxOGRmOTdmYzA3OGIifQ=="/>
    <w:docVar w:name="KSO_WPS_MARK_KEY" w:val="a8aa2a1c-05d6-4890-881d-56979e740005"/>
  </w:docVars>
  <w:rsids>
    <w:rsidRoot w:val="00212507"/>
    <w:rsid w:val="00106C53"/>
    <w:rsid w:val="0015358F"/>
    <w:rsid w:val="00212507"/>
    <w:rsid w:val="002410F1"/>
    <w:rsid w:val="00A3470B"/>
    <w:rsid w:val="00F0109C"/>
    <w:rsid w:val="011E3D92"/>
    <w:rsid w:val="015B4120"/>
    <w:rsid w:val="03E56DE9"/>
    <w:rsid w:val="04211386"/>
    <w:rsid w:val="04463D2B"/>
    <w:rsid w:val="046E6DDE"/>
    <w:rsid w:val="04F876FC"/>
    <w:rsid w:val="051200B1"/>
    <w:rsid w:val="05151950"/>
    <w:rsid w:val="0530678A"/>
    <w:rsid w:val="05E25DEF"/>
    <w:rsid w:val="06257970"/>
    <w:rsid w:val="066C1A43"/>
    <w:rsid w:val="069D376A"/>
    <w:rsid w:val="06F757B1"/>
    <w:rsid w:val="071579E5"/>
    <w:rsid w:val="081859DF"/>
    <w:rsid w:val="082500FC"/>
    <w:rsid w:val="088A61B1"/>
    <w:rsid w:val="09376242"/>
    <w:rsid w:val="09412D13"/>
    <w:rsid w:val="0A285C81"/>
    <w:rsid w:val="0AF23B3E"/>
    <w:rsid w:val="0AF73FD1"/>
    <w:rsid w:val="0B275F39"/>
    <w:rsid w:val="0BE45BD8"/>
    <w:rsid w:val="0C302E80"/>
    <w:rsid w:val="0C573925"/>
    <w:rsid w:val="0CCC7327"/>
    <w:rsid w:val="0D2C5A88"/>
    <w:rsid w:val="0DA27AF9"/>
    <w:rsid w:val="0EF425D6"/>
    <w:rsid w:val="0F384BB8"/>
    <w:rsid w:val="0FA61B22"/>
    <w:rsid w:val="10F468BD"/>
    <w:rsid w:val="11E3705D"/>
    <w:rsid w:val="123E24E6"/>
    <w:rsid w:val="12F6691D"/>
    <w:rsid w:val="13623155"/>
    <w:rsid w:val="13F775DC"/>
    <w:rsid w:val="14033C9B"/>
    <w:rsid w:val="141B23B3"/>
    <w:rsid w:val="14832432"/>
    <w:rsid w:val="1494463F"/>
    <w:rsid w:val="14956609"/>
    <w:rsid w:val="150D2643"/>
    <w:rsid w:val="157E7781"/>
    <w:rsid w:val="159B19FD"/>
    <w:rsid w:val="15DB004C"/>
    <w:rsid w:val="15EE7A56"/>
    <w:rsid w:val="15F254FC"/>
    <w:rsid w:val="164D719B"/>
    <w:rsid w:val="169528F0"/>
    <w:rsid w:val="16A25217"/>
    <w:rsid w:val="16A51FB6"/>
    <w:rsid w:val="16AD7C3A"/>
    <w:rsid w:val="172B6DB1"/>
    <w:rsid w:val="174A6B80"/>
    <w:rsid w:val="17AC7EF2"/>
    <w:rsid w:val="184E71FB"/>
    <w:rsid w:val="18716A45"/>
    <w:rsid w:val="18BF3C55"/>
    <w:rsid w:val="18FE477D"/>
    <w:rsid w:val="18FF648E"/>
    <w:rsid w:val="19A60971"/>
    <w:rsid w:val="1A0E2423"/>
    <w:rsid w:val="1A9B629C"/>
    <w:rsid w:val="1AC61965"/>
    <w:rsid w:val="1AE94FB9"/>
    <w:rsid w:val="1B6A60B2"/>
    <w:rsid w:val="1D102CD1"/>
    <w:rsid w:val="1E672A70"/>
    <w:rsid w:val="1E6E5F01"/>
    <w:rsid w:val="1E8F726B"/>
    <w:rsid w:val="1F382EFB"/>
    <w:rsid w:val="1FB44D91"/>
    <w:rsid w:val="1FDF698A"/>
    <w:rsid w:val="209440AA"/>
    <w:rsid w:val="20A4084A"/>
    <w:rsid w:val="20F85F56"/>
    <w:rsid w:val="216F2CC8"/>
    <w:rsid w:val="21C36360"/>
    <w:rsid w:val="221B63A0"/>
    <w:rsid w:val="224A0F68"/>
    <w:rsid w:val="22BB6B16"/>
    <w:rsid w:val="2369313B"/>
    <w:rsid w:val="24885842"/>
    <w:rsid w:val="24B403E6"/>
    <w:rsid w:val="25076767"/>
    <w:rsid w:val="258F0EE1"/>
    <w:rsid w:val="259C77F7"/>
    <w:rsid w:val="25A71CF8"/>
    <w:rsid w:val="267728FE"/>
    <w:rsid w:val="27BB1A8B"/>
    <w:rsid w:val="27BD504D"/>
    <w:rsid w:val="27CC5901"/>
    <w:rsid w:val="27EB0DC5"/>
    <w:rsid w:val="283A50A6"/>
    <w:rsid w:val="283C1416"/>
    <w:rsid w:val="29075B86"/>
    <w:rsid w:val="2927387C"/>
    <w:rsid w:val="294E18B8"/>
    <w:rsid w:val="29890093"/>
    <w:rsid w:val="2A3F4BF5"/>
    <w:rsid w:val="2A4359B6"/>
    <w:rsid w:val="2A613F72"/>
    <w:rsid w:val="2BF0264B"/>
    <w:rsid w:val="2D5B7F98"/>
    <w:rsid w:val="2DDF4725"/>
    <w:rsid w:val="2E2C36E3"/>
    <w:rsid w:val="2F4800A8"/>
    <w:rsid w:val="2F590507"/>
    <w:rsid w:val="2F9C0B2A"/>
    <w:rsid w:val="30776DA0"/>
    <w:rsid w:val="30CE0A81"/>
    <w:rsid w:val="31255B32"/>
    <w:rsid w:val="31A57A34"/>
    <w:rsid w:val="31B9703B"/>
    <w:rsid w:val="31C545FB"/>
    <w:rsid w:val="31EC4702"/>
    <w:rsid w:val="3267118D"/>
    <w:rsid w:val="32911D66"/>
    <w:rsid w:val="34253971"/>
    <w:rsid w:val="35F76384"/>
    <w:rsid w:val="365B6913"/>
    <w:rsid w:val="3733163E"/>
    <w:rsid w:val="38E35C8E"/>
    <w:rsid w:val="39153335"/>
    <w:rsid w:val="39602492"/>
    <w:rsid w:val="39B90520"/>
    <w:rsid w:val="39CC5F28"/>
    <w:rsid w:val="3A7E7074"/>
    <w:rsid w:val="3A907704"/>
    <w:rsid w:val="3AA52853"/>
    <w:rsid w:val="3AED52FF"/>
    <w:rsid w:val="3B143EC0"/>
    <w:rsid w:val="3B3B4F65"/>
    <w:rsid w:val="3B691AD2"/>
    <w:rsid w:val="3B6C6D0D"/>
    <w:rsid w:val="3B954675"/>
    <w:rsid w:val="3BCB453B"/>
    <w:rsid w:val="3C6F4351"/>
    <w:rsid w:val="3C7E77FF"/>
    <w:rsid w:val="3DB54DD9"/>
    <w:rsid w:val="3DF552CC"/>
    <w:rsid w:val="3E0D0E3B"/>
    <w:rsid w:val="3F0A35CC"/>
    <w:rsid w:val="3F984734"/>
    <w:rsid w:val="40035191"/>
    <w:rsid w:val="408D77C2"/>
    <w:rsid w:val="41297BA8"/>
    <w:rsid w:val="417B0A96"/>
    <w:rsid w:val="42975177"/>
    <w:rsid w:val="42980EEF"/>
    <w:rsid w:val="42DC6682"/>
    <w:rsid w:val="42EB3582"/>
    <w:rsid w:val="434A21E9"/>
    <w:rsid w:val="4389125B"/>
    <w:rsid w:val="43994F1E"/>
    <w:rsid w:val="43B81849"/>
    <w:rsid w:val="44EE43A5"/>
    <w:rsid w:val="45352A25"/>
    <w:rsid w:val="4557347D"/>
    <w:rsid w:val="459E7E70"/>
    <w:rsid w:val="460F3276"/>
    <w:rsid w:val="462A6302"/>
    <w:rsid w:val="46EB3CE3"/>
    <w:rsid w:val="46F5246C"/>
    <w:rsid w:val="47350535"/>
    <w:rsid w:val="47A3011A"/>
    <w:rsid w:val="47D5010B"/>
    <w:rsid w:val="47F6080F"/>
    <w:rsid w:val="48D64ED6"/>
    <w:rsid w:val="48E43ED8"/>
    <w:rsid w:val="49CA4084"/>
    <w:rsid w:val="49F954BB"/>
    <w:rsid w:val="4A635420"/>
    <w:rsid w:val="4AC655D2"/>
    <w:rsid w:val="4AE01685"/>
    <w:rsid w:val="4B1F6D4D"/>
    <w:rsid w:val="4C3457E4"/>
    <w:rsid w:val="4C420AEE"/>
    <w:rsid w:val="4E326AC0"/>
    <w:rsid w:val="4E772F0B"/>
    <w:rsid w:val="4ED141EC"/>
    <w:rsid w:val="4EF72C5F"/>
    <w:rsid w:val="4F2A7373"/>
    <w:rsid w:val="4F8C3B89"/>
    <w:rsid w:val="4FE63299"/>
    <w:rsid w:val="519B17CF"/>
    <w:rsid w:val="51ED4DB3"/>
    <w:rsid w:val="52271947"/>
    <w:rsid w:val="524477D5"/>
    <w:rsid w:val="5325057D"/>
    <w:rsid w:val="541E3671"/>
    <w:rsid w:val="548B2661"/>
    <w:rsid w:val="549A4653"/>
    <w:rsid w:val="556F1F83"/>
    <w:rsid w:val="55951F9B"/>
    <w:rsid w:val="565847C5"/>
    <w:rsid w:val="56E147BB"/>
    <w:rsid w:val="58360B36"/>
    <w:rsid w:val="58564D34"/>
    <w:rsid w:val="5882219C"/>
    <w:rsid w:val="58DC7F4D"/>
    <w:rsid w:val="58E42340"/>
    <w:rsid w:val="5999312B"/>
    <w:rsid w:val="59B77A55"/>
    <w:rsid w:val="5A421A14"/>
    <w:rsid w:val="5A9D5D69"/>
    <w:rsid w:val="5ABD553F"/>
    <w:rsid w:val="5B6F69AA"/>
    <w:rsid w:val="5C160720"/>
    <w:rsid w:val="5C340080"/>
    <w:rsid w:val="5D63417B"/>
    <w:rsid w:val="5D730178"/>
    <w:rsid w:val="5D8E42AA"/>
    <w:rsid w:val="5DE6248C"/>
    <w:rsid w:val="5E287173"/>
    <w:rsid w:val="5EA47734"/>
    <w:rsid w:val="5EA63001"/>
    <w:rsid w:val="5EC20D42"/>
    <w:rsid w:val="5EC21376"/>
    <w:rsid w:val="5F942D12"/>
    <w:rsid w:val="5FB66D94"/>
    <w:rsid w:val="60261490"/>
    <w:rsid w:val="60527282"/>
    <w:rsid w:val="60786190"/>
    <w:rsid w:val="60822B6A"/>
    <w:rsid w:val="60A2320D"/>
    <w:rsid w:val="613A1697"/>
    <w:rsid w:val="61907509"/>
    <w:rsid w:val="62AF7E63"/>
    <w:rsid w:val="63E94CAF"/>
    <w:rsid w:val="641C32D6"/>
    <w:rsid w:val="64CA2D32"/>
    <w:rsid w:val="64E04304"/>
    <w:rsid w:val="651C6006"/>
    <w:rsid w:val="658A426F"/>
    <w:rsid w:val="676E209B"/>
    <w:rsid w:val="67FC76A6"/>
    <w:rsid w:val="68570D81"/>
    <w:rsid w:val="69F77365"/>
    <w:rsid w:val="6AB97AD1"/>
    <w:rsid w:val="6BA52955"/>
    <w:rsid w:val="6C307AAE"/>
    <w:rsid w:val="6CBC5656"/>
    <w:rsid w:val="6CDB1F80"/>
    <w:rsid w:val="6CF15DE2"/>
    <w:rsid w:val="6D3B47CD"/>
    <w:rsid w:val="6D601BEC"/>
    <w:rsid w:val="6DCA78FF"/>
    <w:rsid w:val="6E4C2A0A"/>
    <w:rsid w:val="6E891568"/>
    <w:rsid w:val="6F4F4560"/>
    <w:rsid w:val="6F695F32"/>
    <w:rsid w:val="6FF3138F"/>
    <w:rsid w:val="700510C2"/>
    <w:rsid w:val="7036127C"/>
    <w:rsid w:val="703D085C"/>
    <w:rsid w:val="70666005"/>
    <w:rsid w:val="709D12FB"/>
    <w:rsid w:val="70AB3A18"/>
    <w:rsid w:val="70D171F6"/>
    <w:rsid w:val="70DD1F46"/>
    <w:rsid w:val="71B42DA0"/>
    <w:rsid w:val="72727F11"/>
    <w:rsid w:val="737E18B7"/>
    <w:rsid w:val="74692BFD"/>
    <w:rsid w:val="748F44D9"/>
    <w:rsid w:val="75EE0384"/>
    <w:rsid w:val="782C2D8A"/>
    <w:rsid w:val="78380D6A"/>
    <w:rsid w:val="78941235"/>
    <w:rsid w:val="78A77D97"/>
    <w:rsid w:val="78DD0E2E"/>
    <w:rsid w:val="79F226B7"/>
    <w:rsid w:val="7A1268B5"/>
    <w:rsid w:val="7A911ED0"/>
    <w:rsid w:val="7B53549B"/>
    <w:rsid w:val="7C253132"/>
    <w:rsid w:val="7C8617DD"/>
    <w:rsid w:val="7D081FE3"/>
    <w:rsid w:val="7D5D42EC"/>
    <w:rsid w:val="7D8201F6"/>
    <w:rsid w:val="7DD5689D"/>
    <w:rsid w:val="7E576F8D"/>
    <w:rsid w:val="7E9C0BE3"/>
    <w:rsid w:val="7F5E434B"/>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jc w:val="center"/>
      <w:outlineLvl w:val="1"/>
    </w:pPr>
    <w:rPr>
      <w:rFonts w:ascii="Arial" w:hAnsi="Arial"/>
      <w:b/>
      <w:bCs/>
      <w:kern w:val="0"/>
      <w:sz w:val="36"/>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sz w:val="20"/>
    </w:rPr>
  </w:style>
  <w:style w:type="paragraph" w:styleId="6">
    <w:name w:val="Normal Indent"/>
    <w:basedOn w:val="1"/>
    <w:qFormat/>
    <w:uiPriority w:val="0"/>
    <w:pPr>
      <w:widowControl w:val="0"/>
      <w:ind w:firstLine="420" w:firstLineChars="200"/>
      <w:jc w:val="both"/>
    </w:pPr>
    <w:rPr>
      <w:sz w:val="20"/>
      <w:szCs w:val="24"/>
    </w:rPr>
  </w:style>
  <w:style w:type="paragraph" w:styleId="7">
    <w:name w:val="annotation text"/>
    <w:basedOn w:val="1"/>
    <w:qFormat/>
    <w:uiPriority w:val="0"/>
    <w:pPr>
      <w:jc w:val="left"/>
    </w:pPr>
  </w:style>
  <w:style w:type="paragraph" w:styleId="8">
    <w:name w:val="Body Text Indent"/>
    <w:basedOn w:val="1"/>
    <w:qFormat/>
    <w:uiPriority w:val="0"/>
    <w:pPr>
      <w:ind w:left="4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index 1"/>
    <w:basedOn w:val="1"/>
    <w:next w:val="1"/>
    <w:semiHidden/>
    <w:qFormat/>
    <w:uiPriority w:val="0"/>
    <w:pPr>
      <w:spacing w:line="400" w:lineRule="exact"/>
      <w:ind w:firstLine="420" w:firstLineChars="200"/>
    </w:pPr>
    <w:rPr>
      <w:rFonts w:ascii="宋体" w:hAnsi="Courier New"/>
      <w:b/>
      <w:szCs w:val="20"/>
    </w:rPr>
  </w:style>
  <w:style w:type="paragraph" w:styleId="13">
    <w:name w:val="Body Text First Indent"/>
    <w:basedOn w:val="2"/>
    <w:next w:val="1"/>
    <w:qFormat/>
    <w:uiPriority w:val="0"/>
    <w:pPr>
      <w:widowControl w:val="0"/>
      <w:spacing w:after="0" w:line="360" w:lineRule="auto"/>
      <w:ind w:firstLine="425"/>
      <w:jc w:val="both"/>
    </w:pPr>
    <w:rPr>
      <w:sz w:val="24"/>
    </w:rPr>
  </w:style>
  <w:style w:type="paragraph" w:styleId="14">
    <w:name w:val="Body Text First Indent 2"/>
    <w:basedOn w:val="8"/>
    <w:unhideWhenUsed/>
    <w:qFormat/>
    <w:uiPriority w:val="99"/>
    <w:pPr>
      <w:spacing w:after="120"/>
      <w:ind w:left="420" w:left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首行缩进"/>
    <w:basedOn w:val="1"/>
    <w:qFormat/>
    <w:uiPriority w:val="0"/>
    <w:pPr>
      <w:ind w:firstLine="480" w:firstLineChars="200"/>
    </w:pPr>
    <w:rPr>
      <w:lang w:val="zh-CN"/>
    </w:rPr>
  </w:style>
  <w:style w:type="paragraph" w:customStyle="1" w:styleId="20">
    <w:name w:val="表格文字"/>
    <w:basedOn w:val="1"/>
    <w:qFormat/>
    <w:uiPriority w:val="99"/>
    <w:pPr>
      <w:jc w:val="left"/>
    </w:pPr>
    <w:rPr>
      <w:bCs/>
      <w:spacing w:val="10"/>
      <w:kern w:val="0"/>
      <w:sz w:val="24"/>
    </w:rPr>
  </w:style>
  <w:style w:type="paragraph" w:customStyle="1" w:styleId="21">
    <w:name w:val="正文（缩进）"/>
    <w:basedOn w:val="1"/>
    <w:qFormat/>
    <w:uiPriority w:val="0"/>
    <w:pPr>
      <w:spacing w:before="156" w:after="156"/>
      <w:ind w:firstLine="480"/>
    </w:pPr>
  </w:style>
  <w:style w:type="paragraph" w:customStyle="1" w:styleId="2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3">
    <w:name w:val="列出段落2"/>
    <w:basedOn w:val="1"/>
    <w:qFormat/>
    <w:uiPriority w:val="0"/>
    <w:pPr>
      <w:ind w:firstLine="420" w:firstLineChars="200"/>
    </w:pPr>
    <w:rPr>
      <w:rFonts w:ascii="Calibri" w:hAnsi="Calibri" w:eastAsia="宋体" w:cs="Times New Roman"/>
      <w:szCs w:val="24"/>
    </w:rPr>
  </w:style>
  <w:style w:type="paragraph" w:styleId="24">
    <w:name w:val="List Paragraph"/>
    <w:basedOn w:val="1"/>
    <w:qFormat/>
    <w:uiPriority w:val="0"/>
    <w:pPr>
      <w:ind w:firstLine="420" w:firstLineChars="200"/>
    </w:pPr>
    <w:rPr>
      <w:rFonts w:ascii="Times New Roman" w:hAnsi="Times New Roman" w:eastAsia="宋体" w:cs="Times New Roman"/>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font3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8168</Words>
  <Characters>10067</Characters>
  <Lines>1</Lines>
  <Paragraphs>1</Paragraphs>
  <TotalTime>0</TotalTime>
  <ScaleCrop>false</ScaleCrop>
  <LinksUpToDate>false</LinksUpToDate>
  <CharactersWithSpaces>10091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2024-05-16T03:00:00Z</dcterms:created>
  <dc:creator>林健-融安妇幼</dc:creator>
  <cp:lastModifiedBy>Xz</cp:lastModifiedBy>
  <cp:lastPrinted>2024-11-05T06:59:00Z</cp:lastPrinted>
  <dcterms:modified xsi:type="dcterms:W3CDTF">2025-07-16T10:09:52Z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B7727892770D4777A540EB7D639617E8_13</vt:lpwstr>
  </property>
  <property fmtid="{D5CDD505-2E9C-101B-9397-08002B2CF9AE}" pid="4" name="KSOTemplateDocerSaveRecord">
    <vt:lpwstr>eyJoZGlkIjoiZjI5NTk3ZjdmNTg5MDVlOWU0Mjk3ZTMwZmE2MzQ3MDgiLCJ1c2VySWQiOiI0NjM5MjUwNDUifQ==</vt:lpwstr>
  </property>
</Properties>
</file>