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1D1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3335"/>
            <wp:effectExtent l="0" t="0" r="13335" b="5715"/>
            <wp:docPr id="1" name="图片 1" descr="a0bd995150ecf3ec2a4451baf0e97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bd995150ecf3ec2a4451baf0e97e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BF88D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链接：http://zfcg.lzscz.liuzhou.gov.cn/luban/detail?parentId=138102&amp;articleId=ann_SY2LW1spCC0+xn1IyYpP9tD5ndTMr3NGt5TILBJnhQo=&amp;utm=app-announcement-front.43dc720f.0.0.8ad9e960ad9311f09f0da5e56b0f23c2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2025-10-20T09:40:05Z</dcterms:created>
  <dc:creator>Administrator</dc:creator>
  <cp:lastModifiedBy>燕</cp:lastModifiedBy>
  <dcterms:modified xsi:type="dcterms:W3CDTF">2025-10-20T09:40:48Z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eyJoZGlkIjoiZmI2ZmYwMGQzY2E0MDY3YThhM2Y5MDRlY2Y0MWEzNTYiLCJ1c2VySWQiOiI0MTMwMzQyNTQifQ==</vt:lpwstr>
  </property>
  <property fmtid="{D5CDD505-2E9C-101B-9397-08002B2CF9AE}" pid="4" name="ICV">
    <vt:lpwstr>CD3E9093B9B845DE9D81FD069CA5D9C7_12</vt:lpwstr>
  </property>
</Properties>
</file>